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7F4C9" w14:textId="5BEC56A1" w:rsidR="005D484B" w:rsidRPr="00C01E54" w:rsidRDefault="003B4686" w:rsidP="00DA7D2D">
      <w:pPr>
        <w:jc w:val="center"/>
        <w:rPr>
          <w:b/>
          <w:bCs/>
          <w:sz w:val="32"/>
          <w:szCs w:val="32"/>
        </w:rPr>
      </w:pPr>
      <w:r w:rsidRPr="00C01E54">
        <w:rPr>
          <w:b/>
          <w:bCs/>
          <w:sz w:val="32"/>
          <w:szCs w:val="32"/>
        </w:rPr>
        <w:t>Arizona New Economy Initiative (NEI)</w:t>
      </w:r>
    </w:p>
    <w:p w14:paraId="2804F24D" w14:textId="65C95E52" w:rsidR="003B4686" w:rsidRPr="00C01E54" w:rsidRDefault="003B4686" w:rsidP="00DA7D2D">
      <w:pPr>
        <w:jc w:val="center"/>
        <w:rPr>
          <w:b/>
          <w:bCs/>
          <w:sz w:val="32"/>
          <w:szCs w:val="32"/>
        </w:rPr>
      </w:pPr>
      <w:r w:rsidRPr="00C01E54">
        <w:rPr>
          <w:b/>
          <w:bCs/>
          <w:sz w:val="32"/>
          <w:szCs w:val="32"/>
        </w:rPr>
        <w:t>Science and Technology Center</w:t>
      </w:r>
      <w:r w:rsidR="002A6CD3">
        <w:rPr>
          <w:b/>
          <w:bCs/>
          <w:sz w:val="32"/>
          <w:szCs w:val="32"/>
        </w:rPr>
        <w:t>s</w:t>
      </w:r>
      <w:r w:rsidRPr="00C01E54">
        <w:rPr>
          <w:b/>
          <w:bCs/>
          <w:sz w:val="32"/>
          <w:szCs w:val="32"/>
        </w:rPr>
        <w:t xml:space="preserve"> (STC</w:t>
      </w:r>
      <w:r w:rsidR="002A6CD3">
        <w:rPr>
          <w:b/>
          <w:bCs/>
          <w:sz w:val="32"/>
          <w:szCs w:val="32"/>
        </w:rPr>
        <w:t>s</w:t>
      </w:r>
      <w:r w:rsidRPr="00C01E54">
        <w:rPr>
          <w:b/>
          <w:bCs/>
          <w:sz w:val="32"/>
          <w:szCs w:val="32"/>
        </w:rPr>
        <w:t>)</w:t>
      </w:r>
    </w:p>
    <w:p w14:paraId="76FA087F" w14:textId="77777777" w:rsidR="005C26CE" w:rsidRPr="00C01E54" w:rsidRDefault="005C26CE" w:rsidP="00DA7D2D">
      <w:pPr>
        <w:jc w:val="center"/>
        <w:rPr>
          <w:b/>
          <w:bCs/>
          <w:sz w:val="32"/>
          <w:szCs w:val="32"/>
        </w:rPr>
      </w:pPr>
    </w:p>
    <w:p w14:paraId="05E01F31" w14:textId="0568812A" w:rsidR="003B4686" w:rsidRPr="00C01E54" w:rsidRDefault="005C26CE" w:rsidP="00DA7D2D">
      <w:pPr>
        <w:jc w:val="center"/>
        <w:rPr>
          <w:b/>
          <w:bCs/>
          <w:sz w:val="32"/>
          <w:szCs w:val="32"/>
        </w:rPr>
      </w:pPr>
      <w:r w:rsidRPr="00C01E54">
        <w:rPr>
          <w:b/>
          <w:bCs/>
          <w:sz w:val="32"/>
          <w:szCs w:val="32"/>
        </w:rPr>
        <w:t>202</w:t>
      </w:r>
      <w:r w:rsidR="00A5766A">
        <w:rPr>
          <w:b/>
          <w:bCs/>
          <w:sz w:val="32"/>
          <w:szCs w:val="32"/>
        </w:rPr>
        <w:t>3</w:t>
      </w:r>
      <w:r w:rsidRPr="00C01E54">
        <w:rPr>
          <w:b/>
          <w:bCs/>
          <w:sz w:val="32"/>
          <w:szCs w:val="32"/>
        </w:rPr>
        <w:t xml:space="preserve"> </w:t>
      </w:r>
      <w:r w:rsidR="00EB0A97">
        <w:rPr>
          <w:b/>
          <w:bCs/>
          <w:sz w:val="32"/>
          <w:szCs w:val="32"/>
        </w:rPr>
        <w:t xml:space="preserve">Fall </w:t>
      </w:r>
      <w:r w:rsidR="00026B54">
        <w:rPr>
          <w:b/>
          <w:bCs/>
          <w:sz w:val="32"/>
          <w:szCs w:val="32"/>
        </w:rPr>
        <w:t xml:space="preserve">STC </w:t>
      </w:r>
      <w:r w:rsidR="002A6CD3">
        <w:rPr>
          <w:b/>
          <w:bCs/>
          <w:sz w:val="32"/>
          <w:szCs w:val="32"/>
        </w:rPr>
        <w:t>Entrepreneurial Fellowship Program</w:t>
      </w:r>
    </w:p>
    <w:p w14:paraId="4678475F" w14:textId="77777777" w:rsidR="005C26CE" w:rsidRPr="00530E84" w:rsidRDefault="005C26CE" w:rsidP="00DA7D2D">
      <w:pPr>
        <w:jc w:val="center"/>
        <w:rPr>
          <w:sz w:val="32"/>
          <w:szCs w:val="32"/>
        </w:rPr>
      </w:pPr>
    </w:p>
    <w:tbl>
      <w:tblPr>
        <w:tblStyle w:val="TableGrid"/>
        <w:tblW w:w="0" w:type="auto"/>
        <w:jc w:val="center"/>
        <w:tblLook w:val="04A0" w:firstRow="1" w:lastRow="0" w:firstColumn="1" w:lastColumn="0" w:noHBand="0" w:noVBand="1"/>
      </w:tblPr>
      <w:tblGrid>
        <w:gridCol w:w="4945"/>
        <w:gridCol w:w="3510"/>
      </w:tblGrid>
      <w:tr w:rsidR="005C26CE" w14:paraId="232B7253" w14:textId="77777777" w:rsidTr="008B3ACC">
        <w:trPr>
          <w:jc w:val="center"/>
        </w:trPr>
        <w:tc>
          <w:tcPr>
            <w:tcW w:w="4945" w:type="dxa"/>
          </w:tcPr>
          <w:p w14:paraId="62A9E971" w14:textId="69EA82D2" w:rsidR="005C26CE" w:rsidRPr="00BC3337" w:rsidRDefault="00CE5D92" w:rsidP="00DA7D2D">
            <w:r w:rsidRPr="00BC3337">
              <w:t>Application portal opens</w:t>
            </w:r>
          </w:p>
        </w:tc>
        <w:tc>
          <w:tcPr>
            <w:tcW w:w="3510" w:type="dxa"/>
          </w:tcPr>
          <w:p w14:paraId="2B6D8246" w14:textId="3A0FAA04" w:rsidR="005C26CE" w:rsidRPr="00BC3337" w:rsidRDefault="00EB0A97" w:rsidP="00DA7D2D">
            <w:r>
              <w:t>August</w:t>
            </w:r>
            <w:r w:rsidR="005C26CE" w:rsidRPr="00BC3337">
              <w:t xml:space="preserve"> </w:t>
            </w:r>
            <w:r w:rsidR="00A5766A">
              <w:t>1</w:t>
            </w:r>
            <w:r>
              <w:t>0</w:t>
            </w:r>
            <w:r w:rsidR="005C26CE" w:rsidRPr="00BC3337">
              <w:t>, 202</w:t>
            </w:r>
            <w:r w:rsidR="009F352A">
              <w:t>3</w:t>
            </w:r>
          </w:p>
        </w:tc>
      </w:tr>
      <w:tr w:rsidR="005C26CE" w14:paraId="35469635" w14:textId="77777777" w:rsidTr="008B3ACC">
        <w:trPr>
          <w:jc w:val="center"/>
        </w:trPr>
        <w:tc>
          <w:tcPr>
            <w:tcW w:w="4945" w:type="dxa"/>
          </w:tcPr>
          <w:p w14:paraId="54CDAB26" w14:textId="79689A04" w:rsidR="005C26CE" w:rsidRPr="00BC3337" w:rsidRDefault="00CE5D92" w:rsidP="00DA7D2D">
            <w:r w:rsidRPr="00BC3337">
              <w:t>Online applications due</w:t>
            </w:r>
          </w:p>
        </w:tc>
        <w:tc>
          <w:tcPr>
            <w:tcW w:w="3510" w:type="dxa"/>
          </w:tcPr>
          <w:p w14:paraId="712BB834" w14:textId="2191B209" w:rsidR="005C26CE" w:rsidRPr="00BC3337" w:rsidRDefault="00EB0A97" w:rsidP="00DA7D2D">
            <w:r>
              <w:t>September</w:t>
            </w:r>
            <w:r w:rsidR="005A4A9B" w:rsidRPr="00BC3337">
              <w:t xml:space="preserve"> </w:t>
            </w:r>
            <w:r w:rsidR="008B3ACC">
              <w:t>10</w:t>
            </w:r>
            <w:r w:rsidR="005C26CE" w:rsidRPr="00BC3337">
              <w:t xml:space="preserve">, </w:t>
            </w:r>
            <w:proofErr w:type="gramStart"/>
            <w:r w:rsidR="005C26CE" w:rsidRPr="00BC3337">
              <w:t>202</w:t>
            </w:r>
            <w:r w:rsidR="009F352A">
              <w:t>3</w:t>
            </w:r>
            <w:proofErr w:type="gramEnd"/>
            <w:r w:rsidR="00B0266A" w:rsidRPr="00BC3337">
              <w:t xml:space="preserve"> at 5 pm </w:t>
            </w:r>
            <w:r w:rsidR="008B3ACC">
              <w:t>AZ time</w:t>
            </w:r>
          </w:p>
        </w:tc>
      </w:tr>
      <w:tr w:rsidR="005C26CE" w14:paraId="53C1B23C" w14:textId="77777777" w:rsidTr="008B3ACC">
        <w:trPr>
          <w:jc w:val="center"/>
        </w:trPr>
        <w:tc>
          <w:tcPr>
            <w:tcW w:w="4945" w:type="dxa"/>
          </w:tcPr>
          <w:p w14:paraId="6FFD37B5" w14:textId="5B177F44" w:rsidR="005C26CE" w:rsidRPr="00BC3337" w:rsidRDefault="00CE5D92" w:rsidP="00DA7D2D">
            <w:r w:rsidRPr="00BC3337">
              <w:t>Pitches</w:t>
            </w:r>
          </w:p>
        </w:tc>
        <w:tc>
          <w:tcPr>
            <w:tcW w:w="3510" w:type="dxa"/>
          </w:tcPr>
          <w:p w14:paraId="604F0D64" w14:textId="08F7647F" w:rsidR="005C26CE" w:rsidRPr="00BC3337" w:rsidRDefault="00034B9B" w:rsidP="00DA7D2D">
            <w:r>
              <w:t>September</w:t>
            </w:r>
            <w:r w:rsidR="005C26CE" w:rsidRPr="00BC3337">
              <w:t xml:space="preserve"> 202</w:t>
            </w:r>
            <w:r w:rsidR="009F352A">
              <w:t>3</w:t>
            </w:r>
          </w:p>
        </w:tc>
      </w:tr>
      <w:tr w:rsidR="005C26CE" w14:paraId="3CC23E56" w14:textId="77777777" w:rsidTr="008B3ACC">
        <w:trPr>
          <w:jc w:val="center"/>
        </w:trPr>
        <w:tc>
          <w:tcPr>
            <w:tcW w:w="4945" w:type="dxa"/>
          </w:tcPr>
          <w:p w14:paraId="48DF79C5" w14:textId="75044DF8" w:rsidR="005C26CE" w:rsidRPr="00BC3337" w:rsidRDefault="00CE5D92" w:rsidP="00DA7D2D">
            <w:r w:rsidRPr="00BC3337">
              <w:t>Fellowship award notifications</w:t>
            </w:r>
          </w:p>
        </w:tc>
        <w:tc>
          <w:tcPr>
            <w:tcW w:w="3510" w:type="dxa"/>
          </w:tcPr>
          <w:p w14:paraId="404F4977" w14:textId="2BD165F7" w:rsidR="005C26CE" w:rsidRPr="00BC3337" w:rsidRDefault="00226322" w:rsidP="00DA7D2D">
            <w:r>
              <w:t>October</w:t>
            </w:r>
            <w:r w:rsidR="005C26CE" w:rsidRPr="00BC3337">
              <w:t xml:space="preserve"> 202</w:t>
            </w:r>
            <w:r w:rsidR="009F352A">
              <w:t>3</w:t>
            </w:r>
          </w:p>
        </w:tc>
      </w:tr>
      <w:tr w:rsidR="00BC3337" w14:paraId="1074231C" w14:textId="77777777" w:rsidTr="008B3ACC">
        <w:trPr>
          <w:jc w:val="center"/>
        </w:trPr>
        <w:tc>
          <w:tcPr>
            <w:tcW w:w="4945" w:type="dxa"/>
          </w:tcPr>
          <w:p w14:paraId="39858243" w14:textId="2979EAAF" w:rsidR="00BC3337" w:rsidRPr="00BC3337" w:rsidRDefault="00BC3337" w:rsidP="00DA7D2D">
            <w:r w:rsidRPr="00BC3337">
              <w:t>Fellowships begin</w:t>
            </w:r>
          </w:p>
        </w:tc>
        <w:tc>
          <w:tcPr>
            <w:tcW w:w="3510" w:type="dxa"/>
          </w:tcPr>
          <w:p w14:paraId="51E31A48" w14:textId="490F641B" w:rsidR="00BC3337" w:rsidRPr="00BC3337" w:rsidRDefault="00034B9B" w:rsidP="00DA7D2D">
            <w:r>
              <w:t>November</w:t>
            </w:r>
            <w:r w:rsidR="009F352A">
              <w:t>-</w:t>
            </w:r>
            <w:r w:rsidR="007A62B0">
              <w:t>Decem</w:t>
            </w:r>
            <w:r w:rsidR="009F352A">
              <w:t>ber</w:t>
            </w:r>
            <w:r w:rsidR="00BC3337" w:rsidRPr="00BC3337">
              <w:t xml:space="preserve"> 202</w:t>
            </w:r>
            <w:r w:rsidR="009F352A">
              <w:t>3</w:t>
            </w:r>
          </w:p>
        </w:tc>
      </w:tr>
    </w:tbl>
    <w:p w14:paraId="34B497DC" w14:textId="77777777" w:rsidR="00E34305" w:rsidRDefault="00E34305" w:rsidP="00E34305">
      <w:pPr>
        <w:jc w:val="center"/>
        <w:rPr>
          <w:highlight w:val="yellow"/>
        </w:rPr>
      </w:pPr>
    </w:p>
    <w:p w14:paraId="7596D299" w14:textId="418B462B" w:rsidR="003B4686" w:rsidRDefault="00E34305" w:rsidP="00E34305">
      <w:pPr>
        <w:jc w:val="center"/>
      </w:pPr>
      <w:r w:rsidRPr="00E34305">
        <w:t xml:space="preserve">Please direct questions to </w:t>
      </w:r>
      <w:hyperlink r:id="rId7" w:history="1">
        <w:r w:rsidR="003F14BE" w:rsidRPr="00FC23E6">
          <w:rPr>
            <w:rStyle w:val="Hyperlink"/>
          </w:rPr>
          <w:t>stc@asu.edu</w:t>
        </w:r>
      </w:hyperlink>
      <w:r w:rsidR="003F14BE">
        <w:t>.</w:t>
      </w:r>
    </w:p>
    <w:p w14:paraId="12F7054C" w14:textId="04F183C2" w:rsidR="003F14BE" w:rsidRDefault="003F14BE" w:rsidP="00E34305">
      <w:pPr>
        <w:jc w:val="center"/>
      </w:pPr>
    </w:p>
    <w:p w14:paraId="62F539AF" w14:textId="16B1084F" w:rsidR="00DB0859" w:rsidRDefault="00DB0859" w:rsidP="005073E2">
      <w:pPr>
        <w:spacing w:after="120" w:line="240" w:lineRule="auto"/>
        <w:rPr>
          <w:b/>
          <w:bCs/>
          <w:u w:val="single"/>
        </w:rPr>
      </w:pPr>
    </w:p>
    <w:p w14:paraId="2098886E" w14:textId="77777777" w:rsidR="00575EF8" w:rsidRDefault="00575EF8" w:rsidP="005073E2">
      <w:pPr>
        <w:spacing w:after="120" w:line="240" w:lineRule="auto"/>
        <w:rPr>
          <w:b/>
          <w:bCs/>
          <w:u w:val="single"/>
        </w:rPr>
      </w:pPr>
    </w:p>
    <w:p w14:paraId="04A8B3DB" w14:textId="7CF90989" w:rsidR="002E0A1C" w:rsidRPr="00684863" w:rsidRDefault="002A6CD3" w:rsidP="005073E2">
      <w:pPr>
        <w:pStyle w:val="ListParagraph"/>
        <w:numPr>
          <w:ilvl w:val="0"/>
          <w:numId w:val="5"/>
        </w:numPr>
        <w:spacing w:after="120" w:line="240" w:lineRule="auto"/>
        <w:contextualSpacing w:val="0"/>
        <w:rPr>
          <w:b/>
          <w:bCs/>
          <w:sz w:val="28"/>
          <w:szCs w:val="28"/>
        </w:rPr>
      </w:pPr>
      <w:r>
        <w:rPr>
          <w:b/>
          <w:bCs/>
          <w:sz w:val="28"/>
          <w:szCs w:val="28"/>
        </w:rPr>
        <w:t>Fellowship</w:t>
      </w:r>
      <w:r w:rsidR="002E0A1C" w:rsidRPr="00684863">
        <w:rPr>
          <w:b/>
          <w:bCs/>
          <w:sz w:val="28"/>
          <w:szCs w:val="28"/>
        </w:rPr>
        <w:t xml:space="preserve"> description</w:t>
      </w:r>
    </w:p>
    <w:p w14:paraId="798825C7" w14:textId="1F21E60A" w:rsidR="00FB57BB" w:rsidRPr="002E0A1C" w:rsidRDefault="003B4686" w:rsidP="005073E2">
      <w:pPr>
        <w:pStyle w:val="ListParagraph"/>
        <w:numPr>
          <w:ilvl w:val="1"/>
          <w:numId w:val="5"/>
        </w:numPr>
        <w:spacing w:after="120" w:line="240" w:lineRule="auto"/>
        <w:contextualSpacing w:val="0"/>
        <w:rPr>
          <w:b/>
          <w:bCs/>
        </w:rPr>
      </w:pPr>
      <w:r w:rsidRPr="002E0A1C">
        <w:rPr>
          <w:b/>
          <w:bCs/>
        </w:rPr>
        <w:t>About the STC</w:t>
      </w:r>
      <w:r w:rsidR="002A6CD3">
        <w:rPr>
          <w:b/>
          <w:bCs/>
        </w:rPr>
        <w:t>s</w:t>
      </w:r>
      <w:r w:rsidRPr="002E0A1C">
        <w:rPr>
          <w:b/>
          <w:bCs/>
        </w:rPr>
        <w:t xml:space="preserve"> </w:t>
      </w:r>
    </w:p>
    <w:p w14:paraId="5EED8CD6" w14:textId="77777777" w:rsidR="009F352A" w:rsidRDefault="002E0A1C" w:rsidP="005073E2">
      <w:pPr>
        <w:spacing w:after="120" w:line="240" w:lineRule="auto"/>
      </w:pPr>
      <w:r>
        <w:t xml:space="preserve">The </w:t>
      </w:r>
      <w:r w:rsidR="00F013CB">
        <w:t>Science and Technology Center</w:t>
      </w:r>
      <w:r w:rsidR="002A6CD3">
        <w:t>s</w:t>
      </w:r>
      <w:r w:rsidR="00F013CB">
        <w:t xml:space="preserve"> (</w:t>
      </w:r>
      <w:r>
        <w:t>STC</w:t>
      </w:r>
      <w:r w:rsidR="002A6CD3">
        <w:t>s</w:t>
      </w:r>
      <w:r w:rsidR="00F013CB">
        <w:t>)</w:t>
      </w:r>
      <w:r>
        <w:t xml:space="preserve"> </w:t>
      </w:r>
      <w:r w:rsidR="002A6CD3">
        <w:t>are</w:t>
      </w:r>
      <w:r>
        <w:t xml:space="preserve"> research and development center</w:t>
      </w:r>
      <w:r w:rsidR="002A6CD3">
        <w:t>s</w:t>
      </w:r>
      <w:r>
        <w:t xml:space="preserve"> </w:t>
      </w:r>
      <w:r w:rsidR="00F013CB">
        <w:t>at Arizona State University (ASU) supported</w:t>
      </w:r>
      <w:r>
        <w:t xml:space="preserve"> by the Arizona New </w:t>
      </w:r>
      <w:r w:rsidR="00F013CB">
        <w:t>Economy Initiative (NEI). NEI is an</w:t>
      </w:r>
      <w:r w:rsidR="00F013CB" w:rsidRPr="00F013CB">
        <w:t xml:space="preserve"> investment in ASU’s assignment to drive Arizona’s </w:t>
      </w:r>
      <w:r w:rsidR="00F013CB">
        <w:t xml:space="preserve">future </w:t>
      </w:r>
      <w:r w:rsidR="00F013CB" w:rsidRPr="00F013CB">
        <w:t>econom</w:t>
      </w:r>
      <w:r w:rsidR="00F013CB">
        <w:t>ic growth and resiliency</w:t>
      </w:r>
      <w:r w:rsidR="00F013CB" w:rsidRPr="00F013CB">
        <w:t xml:space="preserve"> through engineering and technology </w:t>
      </w:r>
      <w:r w:rsidR="00841096">
        <w:t>innovation and training</w:t>
      </w:r>
      <w:r w:rsidR="00F013CB">
        <w:t xml:space="preserve">. </w:t>
      </w:r>
      <w:r w:rsidR="00FA61BC">
        <w:t xml:space="preserve">STCs are one component of NEI and are responsible for leveraging ASU-industry partnerships to enable research innovation, entrepreneurship, and tech transfer in areas key to the future of Arizona’s economy. </w:t>
      </w:r>
      <w:r w:rsidR="00F97D5F">
        <w:t xml:space="preserve">As of </w:t>
      </w:r>
      <w:r w:rsidR="009F352A">
        <w:t>Spring</w:t>
      </w:r>
      <w:r w:rsidR="00F97D5F">
        <w:t xml:space="preserve"> 202</w:t>
      </w:r>
      <w:r w:rsidR="009F352A">
        <w:t>3</w:t>
      </w:r>
      <w:r w:rsidR="00F97D5F">
        <w:t xml:space="preserve">, </w:t>
      </w:r>
      <w:r w:rsidR="009F352A">
        <w:t>five</w:t>
      </w:r>
      <w:r w:rsidR="00F97D5F">
        <w:t xml:space="preserve"> STCs have been started: </w:t>
      </w:r>
    </w:p>
    <w:p w14:paraId="3724F203" w14:textId="06D6F2B5" w:rsidR="009F352A" w:rsidRDefault="00F97D5F" w:rsidP="005073E2">
      <w:pPr>
        <w:spacing w:after="120" w:line="240" w:lineRule="auto"/>
      </w:pPr>
      <w:r>
        <w:t>Advanced Materials, Processes and Energy Devices (AMPED)</w:t>
      </w:r>
      <w:r w:rsidR="009F352A">
        <w:t>,</w:t>
      </w:r>
    </w:p>
    <w:p w14:paraId="413032D0" w14:textId="3470110B" w:rsidR="00FA61BC" w:rsidRDefault="00F97D5F" w:rsidP="005073E2">
      <w:pPr>
        <w:spacing w:after="120" w:line="240" w:lineRule="auto"/>
      </w:pPr>
      <w:r>
        <w:t>Manufacturing, Automation and Data Engineering (MADE)</w:t>
      </w:r>
      <w:r w:rsidR="009F352A">
        <w:t>,</w:t>
      </w:r>
    </w:p>
    <w:p w14:paraId="4A4AAEDC" w14:textId="6EE5DCC6" w:rsidR="009F352A" w:rsidRDefault="009F352A" w:rsidP="005073E2">
      <w:pPr>
        <w:spacing w:after="120" w:line="240" w:lineRule="auto"/>
      </w:pPr>
      <w:r>
        <w:t>Advanced Communication Technologies (ACT),</w:t>
      </w:r>
    </w:p>
    <w:p w14:paraId="03538B66" w14:textId="7C945AC4" w:rsidR="009F352A" w:rsidRDefault="009F352A" w:rsidP="005073E2">
      <w:pPr>
        <w:spacing w:after="120" w:line="240" w:lineRule="auto"/>
      </w:pPr>
      <w:r>
        <w:t>Extreme Environments (EXTREME),</w:t>
      </w:r>
    </w:p>
    <w:p w14:paraId="626B1A05" w14:textId="4A848701" w:rsidR="009F352A" w:rsidRDefault="009F352A" w:rsidP="005073E2">
      <w:pPr>
        <w:spacing w:after="120" w:line="240" w:lineRule="auto"/>
      </w:pPr>
      <w:r>
        <w:t xml:space="preserve">and Human Performance (PERFORM). </w:t>
      </w:r>
    </w:p>
    <w:p w14:paraId="6E190047" w14:textId="77777777" w:rsidR="00FB57BB" w:rsidRPr="002E0A1C" w:rsidRDefault="003B4686" w:rsidP="005073E2">
      <w:pPr>
        <w:pStyle w:val="ListParagraph"/>
        <w:numPr>
          <w:ilvl w:val="1"/>
          <w:numId w:val="5"/>
        </w:numPr>
        <w:spacing w:after="120" w:line="240" w:lineRule="auto"/>
        <w:contextualSpacing w:val="0"/>
        <w:rPr>
          <w:b/>
          <w:bCs/>
        </w:rPr>
      </w:pPr>
      <w:r w:rsidRPr="002E0A1C">
        <w:rPr>
          <w:b/>
          <w:bCs/>
        </w:rPr>
        <w:t xml:space="preserve">Opportunity overview </w:t>
      </w:r>
    </w:p>
    <w:p w14:paraId="414E635B" w14:textId="62E5565D" w:rsidR="003B4686" w:rsidRDefault="00F97D5F" w:rsidP="0023115E">
      <w:pPr>
        <w:spacing w:after="120" w:line="240" w:lineRule="auto"/>
      </w:pPr>
      <w:r>
        <w:t>Through this program</w:t>
      </w:r>
      <w:r w:rsidR="0050355B">
        <w:t>, the STC</w:t>
      </w:r>
      <w:r>
        <w:t>s</w:t>
      </w:r>
      <w:r w:rsidR="0050355B">
        <w:t xml:space="preserve"> </w:t>
      </w:r>
      <w:r>
        <w:t>are</w:t>
      </w:r>
      <w:r w:rsidR="0050355B">
        <w:t xml:space="preserve"> soliciting </w:t>
      </w:r>
      <w:r w:rsidR="00026B54">
        <w:t xml:space="preserve">applications </w:t>
      </w:r>
      <w:r w:rsidR="0050355B">
        <w:t xml:space="preserve">for </w:t>
      </w:r>
      <w:r w:rsidR="005F4DC0">
        <w:t>E</w:t>
      </w:r>
      <w:r w:rsidR="00026B54">
        <w:t xml:space="preserve">ntrepreneurial </w:t>
      </w:r>
      <w:r w:rsidR="005F4DC0">
        <w:t>F</w:t>
      </w:r>
      <w:r w:rsidR="00026B54">
        <w:t xml:space="preserve">ellowships. The </w:t>
      </w:r>
      <w:r w:rsidR="005F4DC0">
        <w:t>F</w:t>
      </w:r>
      <w:r w:rsidR="00026B54">
        <w:t>ellowships are designed to enable postdoctoral scholars to grow ventures that are commercializing ASU deep technology that emerged from or is relevant to the STCs</w:t>
      </w:r>
      <w:r w:rsidR="0050355B">
        <w:t xml:space="preserve">. </w:t>
      </w:r>
      <w:r w:rsidR="00026B54">
        <w:t>STC Entrepreneurial Fellowships are two year</w:t>
      </w:r>
      <w:r w:rsidR="00D32E5B">
        <w:t>s in length and</w:t>
      </w:r>
      <w:r w:rsidR="00AC3FCB">
        <w:t xml:space="preserve"> provide salary and fringe benefits for an ASU start-up founder, credits to use ASU’s </w:t>
      </w:r>
      <w:r w:rsidR="00AC3FCB">
        <w:lastRenderedPageBreak/>
        <w:t>Core Facilities or other university resources, and office space at an ASU tech-commercialization site.</w:t>
      </w:r>
      <w:r w:rsidR="00EA275D">
        <w:t xml:space="preserve"> </w:t>
      </w:r>
      <w:r w:rsidR="0047109D">
        <w:t>The STCs anticipate making 1–2 awards each year, depending on the availability of funds.</w:t>
      </w:r>
    </w:p>
    <w:p w14:paraId="4F63EF17" w14:textId="3680FD4F" w:rsidR="00CB209A" w:rsidRDefault="00CB209A" w:rsidP="00CB209A">
      <w:pPr>
        <w:pStyle w:val="ListParagraph"/>
        <w:numPr>
          <w:ilvl w:val="1"/>
          <w:numId w:val="5"/>
        </w:numPr>
        <w:spacing w:after="120" w:line="240" w:lineRule="auto"/>
        <w:contextualSpacing w:val="0"/>
      </w:pPr>
      <w:r>
        <w:rPr>
          <w:b/>
          <w:bCs/>
        </w:rPr>
        <w:t>Target outcomes</w:t>
      </w:r>
    </w:p>
    <w:p w14:paraId="4107480D" w14:textId="343FED46" w:rsidR="00CB209A" w:rsidRDefault="00CB209A" w:rsidP="00CB209A">
      <w:pPr>
        <w:spacing w:after="120" w:line="240" w:lineRule="auto"/>
      </w:pPr>
      <w:r w:rsidRPr="008A69BB">
        <w:t>The</w:t>
      </w:r>
      <w:r>
        <w:t xml:space="preserve"> </w:t>
      </w:r>
      <w:r w:rsidR="000C4D1E">
        <w:t>STC Entrepreneurial Fellowship program seeks to advance Arizona’s New</w:t>
      </w:r>
      <w:r w:rsidR="006263D0">
        <w:t xml:space="preserve"> Economy through creation and growth of start-up companies (ventures) </w:t>
      </w:r>
      <w:r w:rsidR="000F2762">
        <w:t xml:space="preserve">that are </w:t>
      </w:r>
      <w:r w:rsidR="006263D0">
        <w:t xml:space="preserve">based upon deep technology developed at ASU. Specific target outcomes include job creation, wealth creation, and economic diversity and stability within Arizona. </w:t>
      </w:r>
      <w:r w:rsidR="008A69BB">
        <w:t>I</w:t>
      </w:r>
      <w:r w:rsidR="006263D0">
        <w:t xml:space="preserve">ndicators that a venture is </w:t>
      </w:r>
      <w:r w:rsidR="008A69BB">
        <w:t>on track to achieve these outcomes include funding traction (</w:t>
      </w:r>
      <w:r w:rsidR="004B1286">
        <w:t xml:space="preserve">e.g., </w:t>
      </w:r>
      <w:r w:rsidR="008A69BB">
        <w:t>equity financing, grants, business plan competition wins), market traction (</w:t>
      </w:r>
      <w:r w:rsidR="004B1286">
        <w:t xml:space="preserve">e.g., </w:t>
      </w:r>
      <w:r w:rsidR="008A69BB">
        <w:t>joint-development agreements,</w:t>
      </w:r>
      <w:r w:rsidR="004B1286">
        <w:t xml:space="preserve"> non-recurring engineering contracts,</w:t>
      </w:r>
      <w:r w:rsidR="008A69BB">
        <w:t xml:space="preserve"> early sales</w:t>
      </w:r>
      <w:r w:rsidR="004B1286">
        <w:t>), and technology leadership (e.g.,</w:t>
      </w:r>
      <w:r w:rsidR="000F2762">
        <w:t xml:space="preserve"> </w:t>
      </w:r>
      <w:proofErr w:type="gramStart"/>
      <w:r w:rsidR="004B1286">
        <w:t>granted</w:t>
      </w:r>
      <w:proofErr w:type="gramEnd"/>
      <w:r w:rsidR="004B1286">
        <w:t xml:space="preserve"> and pending patents).  </w:t>
      </w:r>
    </w:p>
    <w:p w14:paraId="1E625C2D" w14:textId="50706BCB" w:rsidR="002E0A1C" w:rsidRDefault="002E0A1C" w:rsidP="00CB209A">
      <w:pPr>
        <w:pStyle w:val="ListParagraph"/>
        <w:numPr>
          <w:ilvl w:val="1"/>
          <w:numId w:val="5"/>
        </w:numPr>
        <w:spacing w:after="120" w:line="240" w:lineRule="auto"/>
        <w:contextualSpacing w:val="0"/>
      </w:pPr>
      <w:r>
        <w:rPr>
          <w:b/>
          <w:bCs/>
        </w:rPr>
        <w:t>Topics of interest</w:t>
      </w:r>
    </w:p>
    <w:p w14:paraId="78823F69" w14:textId="562EA5A5" w:rsidR="00FA108C" w:rsidRPr="00BD0148" w:rsidRDefault="00F97D5F" w:rsidP="00BD0148">
      <w:pPr>
        <w:spacing w:after="120" w:line="240" w:lineRule="auto"/>
      </w:pPr>
      <w:r>
        <w:t>The AMPED STC seeks to create the materials and devices needed for broad electrification of the energy sector, and it has three thrust areas: photovoltaics, batteries, and power-electronic devices. The MADE STC seeks to create foundational manufacturing technologies and methods that enable new products and enhance manufacturing competitiveness, and it has three thrust areas: process science and engineering, robotics and automation, and d</w:t>
      </w:r>
      <w:r w:rsidRPr="00F862F2">
        <w:t>ata analytics, cyber, and AI</w:t>
      </w:r>
      <w:r>
        <w:t>.</w:t>
      </w:r>
      <w:r w:rsidR="0023115E" w:rsidRPr="0023115E">
        <w:t xml:space="preserve"> </w:t>
      </w:r>
      <w:r w:rsidR="00BD0148">
        <w:t xml:space="preserve">The ACT STC seeks </w:t>
      </w:r>
      <w:r w:rsidR="00BB4128">
        <w:t xml:space="preserve">to </w:t>
      </w:r>
      <w:r w:rsidR="00BD0148">
        <w:t xml:space="preserve">design, create, </w:t>
      </w:r>
      <w:proofErr w:type="gramStart"/>
      <w:r w:rsidR="00BD0148">
        <w:t>validate</w:t>
      </w:r>
      <w:proofErr w:type="gramEnd"/>
      <w:r w:rsidR="00BD0148">
        <w:t xml:space="preserve"> and translate technologies that develop the next generation of communications and related technologies and make these solutions accessible to the broader community</w:t>
      </w:r>
      <w:r w:rsidR="00CB3F0E">
        <w:t xml:space="preserve">, </w:t>
      </w:r>
      <w:r w:rsidR="00F8671A">
        <w:t xml:space="preserve">and </w:t>
      </w:r>
      <w:r w:rsidR="00CB3F0E">
        <w:t xml:space="preserve">it has four </w:t>
      </w:r>
      <w:r w:rsidR="007E043E">
        <w:t xml:space="preserve">thrust areas: </w:t>
      </w:r>
      <w:r w:rsidR="00BE6803">
        <w:t>future</w:t>
      </w:r>
      <w:r w:rsidR="007E043E">
        <w:t xml:space="preserve"> RF</w:t>
      </w:r>
      <w:r w:rsidR="00BE6803">
        <w:t xml:space="preserve"> systems</w:t>
      </w:r>
      <w:r w:rsidR="007E043E">
        <w:t xml:space="preserve">, </w:t>
      </w:r>
      <w:r w:rsidR="00337886">
        <w:t xml:space="preserve">flexible modem </w:t>
      </w:r>
      <w:r w:rsidR="007E043E">
        <w:t>SoC</w:t>
      </w:r>
      <w:r w:rsidR="00337886">
        <w:t>s</w:t>
      </w:r>
      <w:r w:rsidR="007E043E">
        <w:t xml:space="preserve">, </w:t>
      </w:r>
      <w:r w:rsidR="00337886">
        <w:t xml:space="preserve">communications for </w:t>
      </w:r>
      <w:r w:rsidR="00427C91">
        <w:t>au</w:t>
      </w:r>
      <w:r w:rsidR="00337886">
        <w:t>gmented</w:t>
      </w:r>
      <w:r w:rsidR="002B123D">
        <w:t xml:space="preserve"> reality</w:t>
      </w:r>
      <w:r w:rsidR="00427C91">
        <w:t xml:space="preserve"> and </w:t>
      </w:r>
      <w:r w:rsidR="002B123D">
        <w:t xml:space="preserve">awareness for </w:t>
      </w:r>
      <w:r w:rsidR="00427C91">
        <w:t>autonomous vehicle</w:t>
      </w:r>
      <w:r w:rsidR="002B123D">
        <w:t>s</w:t>
      </w:r>
      <w:r w:rsidR="00BD0148">
        <w:t xml:space="preserve">. The EXTREME STC seeks to build collaborations between university researchers, local businesses, and municipal partners to design, create, </w:t>
      </w:r>
      <w:proofErr w:type="gramStart"/>
      <w:r w:rsidR="00BD0148">
        <w:t>validate</w:t>
      </w:r>
      <w:proofErr w:type="gramEnd"/>
      <w:r w:rsidR="00BD0148">
        <w:t xml:space="preserve"> and translate technologies that mitigate extreme environmental conditions and make these solutions accessible to the broader community</w:t>
      </w:r>
      <w:r w:rsidR="003B3B48">
        <w:t>, and it has three thrust areas: air, water</w:t>
      </w:r>
      <w:r w:rsidR="00C02C50">
        <w:t>, and heat</w:t>
      </w:r>
      <w:r w:rsidR="00BD0148">
        <w:t xml:space="preserve">. The PERFORM STC seeks to create, </w:t>
      </w:r>
      <w:proofErr w:type="gramStart"/>
      <w:r w:rsidR="00BD0148">
        <w:t>validate</w:t>
      </w:r>
      <w:proofErr w:type="gramEnd"/>
      <w:r w:rsidR="00BD0148">
        <w:t xml:space="preserve"> and disseminate actionable knowledge and tools that will positively impact health and well-being across the lifespan, and it has three thrust areas: devices, assessment, and performance multipliers. </w:t>
      </w:r>
      <w:r w:rsidR="0023115E" w:rsidRPr="0023115E">
        <w:t>Fellow</w:t>
      </w:r>
      <w:r w:rsidR="0023115E">
        <w:t>ship applications that align with these STC thrust areas are solicited, though compelling applications that propose to commercialize ASU deep technology that is outside of these areas will also be considered if the likelihood of impact within Arizona is high.</w:t>
      </w:r>
      <w:r w:rsidR="008B00B6">
        <w:t xml:space="preserve"> </w:t>
      </w:r>
    </w:p>
    <w:p w14:paraId="4E9D7179" w14:textId="77777777" w:rsidR="00481C15" w:rsidRDefault="00481C15" w:rsidP="005073E2">
      <w:pPr>
        <w:spacing w:after="120" w:line="240" w:lineRule="auto"/>
        <w:ind w:left="720"/>
      </w:pPr>
    </w:p>
    <w:p w14:paraId="75C56C29" w14:textId="0E99972A" w:rsidR="00FB57BB" w:rsidRDefault="003B4686" w:rsidP="005073E2">
      <w:pPr>
        <w:pStyle w:val="ListParagraph"/>
        <w:numPr>
          <w:ilvl w:val="0"/>
          <w:numId w:val="5"/>
        </w:numPr>
        <w:spacing w:after="120" w:line="240" w:lineRule="auto"/>
        <w:contextualSpacing w:val="0"/>
        <w:rPr>
          <w:b/>
          <w:bCs/>
          <w:sz w:val="28"/>
          <w:szCs w:val="28"/>
        </w:rPr>
      </w:pPr>
      <w:r w:rsidRPr="00684863">
        <w:rPr>
          <w:b/>
          <w:bCs/>
          <w:sz w:val="28"/>
          <w:szCs w:val="28"/>
        </w:rPr>
        <w:t xml:space="preserve">Eligibility </w:t>
      </w:r>
      <w:r w:rsidR="00C42CFA">
        <w:rPr>
          <w:b/>
          <w:bCs/>
          <w:sz w:val="28"/>
          <w:szCs w:val="28"/>
        </w:rPr>
        <w:t>and programmatic details</w:t>
      </w:r>
    </w:p>
    <w:p w14:paraId="38156746" w14:textId="4D2F85D7" w:rsidR="00684863" w:rsidRPr="00EE45B8" w:rsidRDefault="00684863" w:rsidP="005073E2">
      <w:pPr>
        <w:pStyle w:val="ListParagraph"/>
        <w:numPr>
          <w:ilvl w:val="1"/>
          <w:numId w:val="5"/>
        </w:numPr>
        <w:spacing w:after="120" w:line="240" w:lineRule="auto"/>
        <w:contextualSpacing w:val="0"/>
        <w:rPr>
          <w:b/>
          <w:bCs/>
          <w:sz w:val="28"/>
          <w:szCs w:val="28"/>
        </w:rPr>
      </w:pPr>
      <w:r>
        <w:rPr>
          <w:b/>
          <w:bCs/>
        </w:rPr>
        <w:t xml:space="preserve">Eligible </w:t>
      </w:r>
      <w:r w:rsidR="00F97D5F">
        <w:rPr>
          <w:b/>
          <w:bCs/>
        </w:rPr>
        <w:t>applicants</w:t>
      </w:r>
    </w:p>
    <w:p w14:paraId="683CCA8E" w14:textId="4C84E2DF" w:rsidR="00853644" w:rsidRDefault="00EE45B8" w:rsidP="005073E2">
      <w:pPr>
        <w:spacing w:after="120" w:line="240" w:lineRule="auto"/>
      </w:pPr>
      <w:r>
        <w:t xml:space="preserve">Any </w:t>
      </w:r>
      <w:r w:rsidR="00853644">
        <w:t xml:space="preserve">person who has completed </w:t>
      </w:r>
      <w:proofErr w:type="gramStart"/>
      <w:r w:rsidR="00853644">
        <w:t>the</w:t>
      </w:r>
      <w:proofErr w:type="gramEnd"/>
      <w:r w:rsidR="00853644">
        <w:t xml:space="preserve"> PhD degree</w:t>
      </w:r>
      <w:r w:rsidR="00647253">
        <w:t xml:space="preserve"> in engineering or a related </w:t>
      </w:r>
      <w:proofErr w:type="gramStart"/>
      <w:r w:rsidR="00647253">
        <w:t>field</w:t>
      </w:r>
      <w:r w:rsidR="00853644">
        <w:t>, or</w:t>
      </w:r>
      <w:proofErr w:type="gramEnd"/>
      <w:r w:rsidR="00853644">
        <w:t xml:space="preserve"> will have completed the degree by the start of the Fellowship, is eligible to apply. </w:t>
      </w:r>
      <w:proofErr w:type="gramStart"/>
      <w:r w:rsidR="00853644">
        <w:t>In particular, applicants</w:t>
      </w:r>
      <w:proofErr w:type="gramEnd"/>
      <w:r w:rsidR="00853644">
        <w:t xml:space="preserve"> may be PhD students who are completing their degrees, postdoctoral researchers, research faculty, or staff researchers. </w:t>
      </w:r>
      <w:r w:rsidR="00C070AE">
        <w:t xml:space="preserve">This program is not aimed at tenured and tenure-track faculty, as Fellows will, in general, proceed to be full-time employees and officers of their </w:t>
      </w:r>
      <w:r w:rsidR="0012363D">
        <w:t>companies</w:t>
      </w:r>
      <w:r w:rsidR="00647253">
        <w:t xml:space="preserve"> after the Fellowship</w:t>
      </w:r>
      <w:r w:rsidR="0012363D">
        <w:t xml:space="preserve">. </w:t>
      </w:r>
      <w:r w:rsidR="00C42CFA">
        <w:t xml:space="preserve">Applicants should be cofounders </w:t>
      </w:r>
      <w:r w:rsidR="002C3502">
        <w:t xml:space="preserve">or key personnel </w:t>
      </w:r>
      <w:r w:rsidR="00C42CFA">
        <w:t xml:space="preserve">of a registered company </w:t>
      </w:r>
      <w:r w:rsidR="0088495F">
        <w:t>that has</w:t>
      </w:r>
      <w:r w:rsidR="00C42CFA">
        <w:t xml:space="preserve"> a </w:t>
      </w:r>
      <w:r w:rsidR="00CB209A">
        <w:t xml:space="preserve">license </w:t>
      </w:r>
      <w:r w:rsidR="00B567F0">
        <w:t>(</w:t>
      </w:r>
      <w:r w:rsidR="00CB209A">
        <w:t xml:space="preserve">or </w:t>
      </w:r>
      <w:r w:rsidR="00B567F0">
        <w:t xml:space="preserve">an exclusive </w:t>
      </w:r>
      <w:r w:rsidR="00CB209A">
        <w:t xml:space="preserve">option to </w:t>
      </w:r>
      <w:r w:rsidR="00B567F0">
        <w:t xml:space="preserve">negotiate a </w:t>
      </w:r>
      <w:r w:rsidR="00CB209A">
        <w:t>license</w:t>
      </w:r>
      <w:r w:rsidR="00B567F0">
        <w:t>) to</w:t>
      </w:r>
      <w:r w:rsidR="00CB209A">
        <w:t xml:space="preserve"> ASU intellectual property. Competitive applicants and ventures will have made beneficial use of the entrepreneurship </w:t>
      </w:r>
      <w:r w:rsidR="00760497">
        <w:t xml:space="preserve">and entrepreneurial training </w:t>
      </w:r>
      <w:r w:rsidR="00CB209A">
        <w:t>resources available at ASU</w:t>
      </w:r>
      <w:r w:rsidR="00760497">
        <w:t xml:space="preserve"> </w:t>
      </w:r>
      <w:r w:rsidR="00647253">
        <w:t xml:space="preserve">or elsewhere </w:t>
      </w:r>
      <w:r w:rsidR="00760497">
        <w:t>prior</w:t>
      </w:r>
      <w:r w:rsidR="00CB209A">
        <w:t xml:space="preserve"> </w:t>
      </w:r>
      <w:r w:rsidR="00760497">
        <w:t xml:space="preserve">to </w:t>
      </w:r>
      <w:r w:rsidR="00CB209A">
        <w:t>application.</w:t>
      </w:r>
      <w:r w:rsidR="00647253">
        <w:t xml:space="preserve"> </w:t>
      </w:r>
    </w:p>
    <w:p w14:paraId="537E49C6" w14:textId="25D0B412" w:rsidR="00684863" w:rsidRPr="00754E6F" w:rsidRDefault="00F97D5F" w:rsidP="005073E2">
      <w:pPr>
        <w:pStyle w:val="ListParagraph"/>
        <w:numPr>
          <w:ilvl w:val="1"/>
          <w:numId w:val="5"/>
        </w:numPr>
        <w:spacing w:after="120" w:line="240" w:lineRule="auto"/>
        <w:contextualSpacing w:val="0"/>
        <w:rPr>
          <w:b/>
          <w:bCs/>
          <w:sz w:val="28"/>
          <w:szCs w:val="28"/>
        </w:rPr>
      </w:pPr>
      <w:r>
        <w:rPr>
          <w:b/>
          <w:bCs/>
        </w:rPr>
        <w:t>Fellowship</w:t>
      </w:r>
      <w:r w:rsidR="00684863">
        <w:rPr>
          <w:b/>
          <w:bCs/>
        </w:rPr>
        <w:t xml:space="preserve"> duration</w:t>
      </w:r>
    </w:p>
    <w:p w14:paraId="75001C36" w14:textId="0E372A37" w:rsidR="00754E6F" w:rsidRDefault="0088495F" w:rsidP="005073E2">
      <w:pPr>
        <w:spacing w:after="120" w:line="240" w:lineRule="auto"/>
      </w:pPr>
      <w:r w:rsidRPr="0088495F">
        <w:t xml:space="preserve">STC Entrepreneurial Fellowships begin with a one-year </w:t>
      </w:r>
      <w:r w:rsidR="00E74445">
        <w:t xml:space="preserve">ASU employment </w:t>
      </w:r>
      <w:r w:rsidRPr="0088495F">
        <w:t xml:space="preserve">contract </w:t>
      </w:r>
      <w:r w:rsidR="00E74445">
        <w:t>that</w:t>
      </w:r>
      <w:r w:rsidRPr="0088495F">
        <w:t>, pending satisfactory progress and reporting, may be extended for an additional year, for a total of two years.</w:t>
      </w:r>
      <w:r w:rsidR="003A3694">
        <w:t xml:space="preserve"> </w:t>
      </w:r>
      <w:r w:rsidR="00E74445">
        <w:lastRenderedPageBreak/>
        <w:t>Fellows may voluntarily end the Fellowship early if, e.g., they wish to become employees of the</w:t>
      </w:r>
      <w:r w:rsidR="001A4CC5">
        <w:t xml:space="preserve">ir venture </w:t>
      </w:r>
      <w:r w:rsidR="00E74445">
        <w:t>(and thus no longer of ASU) following a fundrais</w:t>
      </w:r>
      <w:r w:rsidR="001A4CC5">
        <w:t>ing round</w:t>
      </w:r>
      <w:r w:rsidR="00E74445">
        <w:t>.</w:t>
      </w:r>
    </w:p>
    <w:p w14:paraId="5CE0F216" w14:textId="77777777" w:rsidR="00A22533" w:rsidRPr="006D4328" w:rsidRDefault="00A22533" w:rsidP="00A22533">
      <w:pPr>
        <w:pStyle w:val="ListParagraph"/>
        <w:numPr>
          <w:ilvl w:val="1"/>
          <w:numId w:val="5"/>
        </w:numPr>
        <w:spacing w:after="120" w:line="240" w:lineRule="auto"/>
        <w:contextualSpacing w:val="0"/>
        <w:rPr>
          <w:b/>
          <w:bCs/>
          <w:sz w:val="28"/>
          <w:szCs w:val="28"/>
        </w:rPr>
      </w:pPr>
      <w:r>
        <w:rPr>
          <w:b/>
          <w:bCs/>
        </w:rPr>
        <w:t xml:space="preserve">Budget </w:t>
      </w:r>
    </w:p>
    <w:p w14:paraId="167C454B" w14:textId="1F41C013" w:rsidR="00E579CF" w:rsidRDefault="00B4627D" w:rsidP="00A22533">
      <w:pPr>
        <w:spacing w:after="120" w:line="240" w:lineRule="auto"/>
      </w:pPr>
      <w:r>
        <w:t>Each</w:t>
      </w:r>
      <w:r w:rsidR="000C4D1E">
        <w:t xml:space="preserve"> Fellowship ha</w:t>
      </w:r>
      <w:r>
        <w:t>s</w:t>
      </w:r>
      <w:r w:rsidR="000C4D1E">
        <w:t xml:space="preserve"> a total value of up to $130,000 per year. </w:t>
      </w:r>
      <w:r w:rsidR="004E786E">
        <w:t>Eligible Fellowship expenses include</w:t>
      </w:r>
      <w:r w:rsidR="00E579CF">
        <w:t>:</w:t>
      </w:r>
    </w:p>
    <w:p w14:paraId="51F67FA9" w14:textId="4B3CCEA8" w:rsidR="00E579CF" w:rsidRDefault="004E786E" w:rsidP="00E579CF">
      <w:pPr>
        <w:pStyle w:val="ListParagraph"/>
        <w:numPr>
          <w:ilvl w:val="0"/>
          <w:numId w:val="14"/>
        </w:numPr>
        <w:spacing w:after="120" w:line="240" w:lineRule="auto"/>
        <w:contextualSpacing w:val="0"/>
      </w:pPr>
      <w:r>
        <w:t>Fellow salary</w:t>
      </w:r>
      <w:r w:rsidR="00E579CF">
        <w:t xml:space="preserve"> up to $7</w:t>
      </w:r>
      <w:r w:rsidR="00DF6176">
        <w:t>5</w:t>
      </w:r>
      <w:r w:rsidR="00E579CF">
        <w:t xml:space="preserve">,000 per year (Fellows will be hired as ASU postdoctoral associates </w:t>
      </w:r>
      <w:r w:rsidR="00647253">
        <w:t>in the Fulton Schools of Engineering</w:t>
      </w:r>
      <w:r w:rsidR="002C3502">
        <w:t>,</w:t>
      </w:r>
      <w:r w:rsidR="00647253">
        <w:t xml:space="preserve"> </w:t>
      </w:r>
      <w:r w:rsidR="00E579CF">
        <w:t xml:space="preserve">or, if a Fellow is already in another ASU </w:t>
      </w:r>
      <w:r w:rsidR="00DF6176">
        <w:t xml:space="preserve">research faculty or </w:t>
      </w:r>
      <w:r w:rsidR="00E579CF">
        <w:t>staff position, that position will be continued)</w:t>
      </w:r>
    </w:p>
    <w:p w14:paraId="2E724B17" w14:textId="77777777" w:rsidR="00E579CF" w:rsidRDefault="004E786E" w:rsidP="00E579CF">
      <w:pPr>
        <w:pStyle w:val="ListParagraph"/>
        <w:numPr>
          <w:ilvl w:val="0"/>
          <w:numId w:val="14"/>
        </w:numPr>
        <w:spacing w:after="120" w:line="240" w:lineRule="auto"/>
        <w:contextualSpacing w:val="0"/>
      </w:pPr>
      <w:r>
        <w:t>Fellow fringe benefits (also called employee-related expenses)</w:t>
      </w:r>
    </w:p>
    <w:p w14:paraId="32FAA525" w14:textId="0F9AF2BB" w:rsidR="00504837" w:rsidRDefault="00C02C50" w:rsidP="00E579CF">
      <w:pPr>
        <w:pStyle w:val="ListParagraph"/>
        <w:numPr>
          <w:ilvl w:val="0"/>
          <w:numId w:val="14"/>
        </w:numPr>
        <w:spacing w:after="120" w:line="240" w:lineRule="auto"/>
        <w:contextualSpacing w:val="0"/>
      </w:pPr>
      <w:hyperlink r:id="rId8" w:history="1">
        <w:r w:rsidR="00504837" w:rsidRPr="00504837">
          <w:rPr>
            <w:rStyle w:val="Hyperlink"/>
          </w:rPr>
          <w:t>ASU Core Facilities</w:t>
        </w:r>
      </w:hyperlink>
      <w:r w:rsidR="00504837">
        <w:t xml:space="preserve"> fees (with the Fellow, other ASU cofounders of the venture, or Core Facility staff as </w:t>
      </w:r>
      <w:r w:rsidR="001A4CC5">
        <w:t xml:space="preserve">eligible </w:t>
      </w:r>
      <w:r w:rsidR="00504837">
        <w:t xml:space="preserve">equipment operators) </w:t>
      </w:r>
    </w:p>
    <w:p w14:paraId="5F7F7925" w14:textId="6F7F7E5E" w:rsidR="00E74445" w:rsidRDefault="000C4D1E" w:rsidP="00E579CF">
      <w:pPr>
        <w:pStyle w:val="ListParagraph"/>
        <w:numPr>
          <w:ilvl w:val="0"/>
          <w:numId w:val="14"/>
        </w:numPr>
        <w:spacing w:after="120" w:line="240" w:lineRule="auto"/>
        <w:contextualSpacing w:val="0"/>
      </w:pPr>
      <w:r>
        <w:t xml:space="preserve">Other university resources that are available on a pay-per-use basis, such as </w:t>
      </w:r>
      <w:hyperlink r:id="rId9" w:history="1">
        <w:r w:rsidRPr="000C4D1E">
          <w:rPr>
            <w:rStyle w:val="Hyperlink"/>
          </w:rPr>
          <w:t>VISLAB</w:t>
        </w:r>
      </w:hyperlink>
      <w:r>
        <w:t xml:space="preserve"> or the </w:t>
      </w:r>
      <w:hyperlink r:id="rId10" w:history="1">
        <w:r w:rsidRPr="000C4D1E">
          <w:rPr>
            <w:rStyle w:val="Hyperlink"/>
          </w:rPr>
          <w:t>Innovation Hub</w:t>
        </w:r>
      </w:hyperlink>
      <w:r>
        <w:t xml:space="preserve"> at the Poly campus </w:t>
      </w:r>
    </w:p>
    <w:p w14:paraId="091FCD85" w14:textId="1CE19A9E" w:rsidR="007F2B2E" w:rsidRDefault="007A2B33" w:rsidP="007F2B2E">
      <w:pPr>
        <w:spacing w:after="120" w:line="240" w:lineRule="auto"/>
      </w:pPr>
      <w:r>
        <w:t xml:space="preserve">Other expenses that are not directly linked to ASU—such as non-Fellow personnel salaries, equipment, materials, and attorney fees—are ineligible and must be covered by the venture. </w:t>
      </w:r>
      <w:r w:rsidR="007F2B2E">
        <w:t xml:space="preserve">A </w:t>
      </w:r>
      <w:r w:rsidR="003E24F7">
        <w:t>written</w:t>
      </w:r>
      <w:r w:rsidR="007F2B2E">
        <w:t xml:space="preserve"> budget is not required in the Fellowship application process, but applicants may be asked by the review panel about planned usage of funds. </w:t>
      </w:r>
      <w:r w:rsidR="003E24F7">
        <w:t xml:space="preserve">Selected applicants will work with ASU staff to create a detailed budget after the review process. </w:t>
      </w:r>
    </w:p>
    <w:p w14:paraId="4A36F971" w14:textId="7702ECA0" w:rsidR="00EE45B8" w:rsidRPr="00032037" w:rsidRDefault="00EE45B8" w:rsidP="00A22533">
      <w:pPr>
        <w:pStyle w:val="ListParagraph"/>
        <w:numPr>
          <w:ilvl w:val="1"/>
          <w:numId w:val="5"/>
        </w:numPr>
        <w:spacing w:after="120" w:line="240" w:lineRule="auto"/>
        <w:contextualSpacing w:val="0"/>
        <w:rPr>
          <w:b/>
          <w:bCs/>
          <w:sz w:val="28"/>
          <w:szCs w:val="28"/>
        </w:rPr>
      </w:pPr>
      <w:r w:rsidRPr="00032037">
        <w:rPr>
          <w:b/>
          <w:bCs/>
        </w:rPr>
        <w:t>Intellectual property</w:t>
      </w:r>
    </w:p>
    <w:p w14:paraId="150AABCD" w14:textId="3364EEA4" w:rsidR="00D0227C" w:rsidRDefault="00DB30D6" w:rsidP="005073E2">
      <w:pPr>
        <w:spacing w:after="120" w:line="240" w:lineRule="auto"/>
      </w:pPr>
      <w:r>
        <w:t xml:space="preserve">Entrepreneurial </w:t>
      </w:r>
      <w:r w:rsidR="0077024E">
        <w:t>Fellows</w:t>
      </w:r>
      <w:r>
        <w:t xml:space="preserve"> are expected to commercialize ASU technology, and thus their ventures</w:t>
      </w:r>
      <w:r w:rsidR="0077024E">
        <w:t xml:space="preserve"> </w:t>
      </w:r>
      <w:r>
        <w:t xml:space="preserve">must </w:t>
      </w:r>
      <w:r w:rsidR="0077024E">
        <w:t>maintain a</w:t>
      </w:r>
      <w:r>
        <w:t xml:space="preserve"> license from </w:t>
      </w:r>
      <w:hyperlink r:id="rId11" w:history="1">
        <w:proofErr w:type="spellStart"/>
        <w:r w:rsidR="008454F8" w:rsidRPr="00282D40">
          <w:rPr>
            <w:rStyle w:val="Hyperlink"/>
          </w:rPr>
          <w:t>Skysong</w:t>
        </w:r>
        <w:proofErr w:type="spellEnd"/>
        <w:r w:rsidR="008454F8" w:rsidRPr="00282D40">
          <w:rPr>
            <w:rStyle w:val="Hyperlink"/>
          </w:rPr>
          <w:t xml:space="preserve"> Innovations</w:t>
        </w:r>
      </w:hyperlink>
      <w:r w:rsidR="008454F8">
        <w:t xml:space="preserve">, </w:t>
      </w:r>
      <w:r w:rsidR="00763838">
        <w:t>ASU’s exclusive intellectual property management company</w:t>
      </w:r>
      <w:r w:rsidR="00282D40">
        <w:t>. Termination or lapse of the license may be cause for early</w:t>
      </w:r>
      <w:r w:rsidR="00D0227C">
        <w:t xml:space="preserve"> termination of the Fellowship. Ventures are allowed to have an </w:t>
      </w:r>
      <w:r w:rsidR="000E759E">
        <w:t xml:space="preserve">exclusive </w:t>
      </w:r>
      <w:r w:rsidR="00D0227C">
        <w:t>option</w:t>
      </w:r>
      <w:r w:rsidR="000E759E">
        <w:t xml:space="preserve"> to negotiate a license</w:t>
      </w:r>
      <w:r w:rsidR="00D0227C">
        <w:t xml:space="preserve">—and not yet a license—at the time of application, but the </w:t>
      </w:r>
      <w:r w:rsidR="000E759E">
        <w:t xml:space="preserve">license </w:t>
      </w:r>
      <w:r w:rsidR="00D0227C">
        <w:t xml:space="preserve">should be </w:t>
      </w:r>
      <w:r w:rsidR="000E759E">
        <w:t xml:space="preserve">negotiated and </w:t>
      </w:r>
      <w:r w:rsidR="00D0227C">
        <w:t>executed prior to the second-year renewal of the Fellowship.</w:t>
      </w:r>
    </w:p>
    <w:p w14:paraId="010DFB9A" w14:textId="6CE0BA04" w:rsidR="00247D88" w:rsidRDefault="00D0227C" w:rsidP="005073E2">
      <w:pPr>
        <w:spacing w:after="120" w:line="240" w:lineRule="auto"/>
      </w:pPr>
      <w:r>
        <w:t>Fellows will be ASU employees during the Fellowship period</w:t>
      </w:r>
      <w:r w:rsidR="00AC3F45">
        <w:t xml:space="preserve"> and are thus subject to Arizona Board of Regents (ABOR) </w:t>
      </w:r>
      <w:hyperlink r:id="rId12" w:history="1">
        <w:r w:rsidR="00AC3F45" w:rsidRPr="00AC3F45">
          <w:rPr>
            <w:rStyle w:val="Hyperlink"/>
          </w:rPr>
          <w:t>policy 6-908</w:t>
        </w:r>
      </w:hyperlink>
      <w:r w:rsidR="00AC3F45">
        <w:t>, which governs intellectual property (IP).</w:t>
      </w:r>
      <w:r w:rsidR="007F2B2E">
        <w:t xml:space="preserve"> Of </w:t>
      </w:r>
      <w:proofErr w:type="gramStart"/>
      <w:r w:rsidR="007F2B2E">
        <w:t>particular note</w:t>
      </w:r>
      <w:proofErr w:type="gramEnd"/>
      <w:r w:rsidR="007F2B2E">
        <w:t xml:space="preserve">, IP created by Fellows during their tenure will be owned by ABOR and managed by </w:t>
      </w:r>
      <w:proofErr w:type="spellStart"/>
      <w:r w:rsidR="007F2B2E">
        <w:t>Skysong</w:t>
      </w:r>
      <w:proofErr w:type="spellEnd"/>
      <w:r w:rsidR="007F2B2E">
        <w:t xml:space="preserve"> Innovations.</w:t>
      </w:r>
      <w:r w:rsidR="00BD29A6">
        <w:t xml:space="preserve"> </w:t>
      </w:r>
      <w:r w:rsidR="00D72855">
        <w:t xml:space="preserve">To that end, Fellows are required to disclose such IP to </w:t>
      </w:r>
      <w:proofErr w:type="spellStart"/>
      <w:r w:rsidR="00D72855">
        <w:t>Skysong</w:t>
      </w:r>
      <w:proofErr w:type="spellEnd"/>
      <w:r w:rsidR="00D72855">
        <w:t xml:space="preserve"> Innovations. </w:t>
      </w:r>
      <w:r w:rsidR="00BD29A6">
        <w:t xml:space="preserve">Fellows’ ventures will have a limited opportunity to license </w:t>
      </w:r>
      <w:r w:rsidR="00F168A9">
        <w:t>such</w:t>
      </w:r>
      <w:r w:rsidR="00BD29A6">
        <w:t xml:space="preserve"> IP from </w:t>
      </w:r>
      <w:proofErr w:type="spellStart"/>
      <w:r w:rsidR="00BD29A6">
        <w:t>Skysong</w:t>
      </w:r>
      <w:proofErr w:type="spellEnd"/>
      <w:r w:rsidR="00BD29A6">
        <w:t xml:space="preserve"> Innovations</w:t>
      </w:r>
      <w:r w:rsidR="002C6172">
        <w:t>, per the conditions of each venture’s existing license agreement</w:t>
      </w:r>
      <w:r w:rsidR="00BD29A6">
        <w:t>.</w:t>
      </w:r>
    </w:p>
    <w:p w14:paraId="4127D4E4" w14:textId="3409BD7F" w:rsidR="0088495F" w:rsidRPr="008454F8" w:rsidRDefault="0088495F" w:rsidP="0088495F">
      <w:pPr>
        <w:pStyle w:val="ListParagraph"/>
        <w:numPr>
          <w:ilvl w:val="1"/>
          <w:numId w:val="5"/>
        </w:numPr>
        <w:spacing w:after="120" w:line="240" w:lineRule="auto"/>
        <w:contextualSpacing w:val="0"/>
        <w:rPr>
          <w:b/>
          <w:bCs/>
          <w:sz w:val="28"/>
          <w:szCs w:val="28"/>
        </w:rPr>
      </w:pPr>
      <w:r>
        <w:rPr>
          <w:b/>
          <w:bCs/>
        </w:rPr>
        <w:t>Reporting requirements</w:t>
      </w:r>
    </w:p>
    <w:p w14:paraId="3AD2B99F" w14:textId="75856FD9" w:rsidR="0088495F" w:rsidRDefault="009322C4" w:rsidP="009322C4">
      <w:pPr>
        <w:spacing w:after="120" w:line="240" w:lineRule="auto"/>
      </w:pPr>
      <w:r>
        <w:t xml:space="preserve">Fellows are required to submit a brief annual report detailing business and technical progress, as well as </w:t>
      </w:r>
      <w:r w:rsidR="001A4CC5">
        <w:t>documenting</w:t>
      </w:r>
      <w:r>
        <w:t xml:space="preserve"> quantitative impact metrics such as number of employees and funds raised. </w:t>
      </w:r>
    </w:p>
    <w:p w14:paraId="34E4B4AA" w14:textId="77777777" w:rsidR="00684863" w:rsidRPr="007D3E12" w:rsidRDefault="00684863" w:rsidP="005073E2">
      <w:pPr>
        <w:pStyle w:val="ListParagraph"/>
        <w:spacing w:after="120" w:line="240" w:lineRule="auto"/>
        <w:ind w:left="1440"/>
        <w:contextualSpacing w:val="0"/>
        <w:rPr>
          <w:b/>
          <w:bCs/>
        </w:rPr>
      </w:pPr>
    </w:p>
    <w:p w14:paraId="1285C8A1" w14:textId="1B7D13AC" w:rsidR="00FB57BB" w:rsidRDefault="00F97D5F" w:rsidP="005073E2">
      <w:pPr>
        <w:pStyle w:val="ListParagraph"/>
        <w:numPr>
          <w:ilvl w:val="0"/>
          <w:numId w:val="5"/>
        </w:numPr>
        <w:spacing w:after="120" w:line="240" w:lineRule="auto"/>
        <w:contextualSpacing w:val="0"/>
        <w:rPr>
          <w:sz w:val="28"/>
          <w:szCs w:val="28"/>
        </w:rPr>
      </w:pPr>
      <w:r>
        <w:rPr>
          <w:b/>
          <w:bCs/>
          <w:sz w:val="28"/>
          <w:szCs w:val="28"/>
        </w:rPr>
        <w:t>Application</w:t>
      </w:r>
      <w:r w:rsidR="00EC7C9A" w:rsidRPr="007D3E12">
        <w:rPr>
          <w:b/>
          <w:bCs/>
          <w:sz w:val="28"/>
          <w:szCs w:val="28"/>
        </w:rPr>
        <w:t xml:space="preserve"> </w:t>
      </w:r>
      <w:r w:rsidR="005809EF">
        <w:rPr>
          <w:b/>
          <w:bCs/>
          <w:sz w:val="28"/>
          <w:szCs w:val="28"/>
        </w:rPr>
        <w:t>submission</w:t>
      </w:r>
      <w:r w:rsidR="00776628" w:rsidRPr="007D3E12">
        <w:rPr>
          <w:sz w:val="28"/>
          <w:szCs w:val="28"/>
        </w:rPr>
        <w:t xml:space="preserve"> </w:t>
      </w:r>
    </w:p>
    <w:p w14:paraId="714B29BF" w14:textId="579FC3F0" w:rsidR="007D3E12" w:rsidRPr="004C33A0" w:rsidRDefault="007D1CD1" w:rsidP="005073E2">
      <w:pPr>
        <w:pStyle w:val="ListParagraph"/>
        <w:numPr>
          <w:ilvl w:val="1"/>
          <w:numId w:val="5"/>
        </w:numPr>
        <w:spacing w:after="120" w:line="240" w:lineRule="auto"/>
        <w:contextualSpacing w:val="0"/>
        <w:rPr>
          <w:b/>
          <w:bCs/>
          <w:sz w:val="28"/>
          <w:szCs w:val="28"/>
        </w:rPr>
      </w:pPr>
      <w:r>
        <w:rPr>
          <w:b/>
          <w:bCs/>
        </w:rPr>
        <w:t>Online</w:t>
      </w:r>
      <w:r w:rsidR="005809EF">
        <w:rPr>
          <w:b/>
          <w:bCs/>
        </w:rPr>
        <w:t xml:space="preserve"> application</w:t>
      </w:r>
      <w:r w:rsidR="007D3E12">
        <w:rPr>
          <w:b/>
          <w:bCs/>
        </w:rPr>
        <w:t xml:space="preserve"> </w:t>
      </w:r>
    </w:p>
    <w:p w14:paraId="0AFB5A7F" w14:textId="65D38A1B" w:rsidR="004C33A0" w:rsidRPr="004C33A0" w:rsidRDefault="007D1CD1" w:rsidP="005073E2">
      <w:pPr>
        <w:spacing w:after="120" w:line="240" w:lineRule="auto"/>
      </w:pPr>
      <w:r>
        <w:t xml:space="preserve">To apply for the STC Entrepreneurial Fellowship, </w:t>
      </w:r>
      <w:r w:rsidR="001A4CC5">
        <w:t xml:space="preserve">applicants must </w:t>
      </w:r>
      <w:r>
        <w:t xml:space="preserve">complete the </w:t>
      </w:r>
      <w:hyperlink r:id="rId13" w:history="1">
        <w:r w:rsidRPr="007D1CD1">
          <w:rPr>
            <w:rStyle w:val="Hyperlink"/>
          </w:rPr>
          <w:t>online application</w:t>
        </w:r>
      </w:hyperlink>
      <w:r>
        <w:t xml:space="preserve"> by the date and time specified on the cover page of this document. </w:t>
      </w:r>
      <w:r w:rsidR="004C54A5">
        <w:t xml:space="preserve">The online application requires </w:t>
      </w:r>
      <w:r w:rsidR="00730B7D">
        <w:t>short-</w:t>
      </w:r>
      <w:r w:rsidR="004C54A5">
        <w:t>answer</w:t>
      </w:r>
      <w:r w:rsidR="00730B7D">
        <w:t xml:space="preserve"> responses to</w:t>
      </w:r>
      <w:r w:rsidR="008066A9">
        <w:t xml:space="preserve"> a few introductory questions (expected to take</w:t>
      </w:r>
      <w:r w:rsidR="001A4CC5">
        <w:t xml:space="preserve"> approximately</w:t>
      </w:r>
      <w:r w:rsidR="008066A9">
        <w:t xml:space="preserve"> 30 minutes to complete) and a</w:t>
      </w:r>
      <w:r w:rsidR="00E10F7F">
        <w:t xml:space="preserve"> one-page executive summary that, per </w:t>
      </w:r>
      <w:hyperlink r:id="rId14" w:history="1">
        <w:r w:rsidR="00E10F7F" w:rsidRPr="00E10F7F">
          <w:rPr>
            <w:rStyle w:val="Hyperlink"/>
          </w:rPr>
          <w:t>these guidelines</w:t>
        </w:r>
      </w:hyperlink>
      <w:r w:rsidR="00E10F7F">
        <w:t xml:space="preserve">, should </w:t>
      </w:r>
      <w:r w:rsidR="00E10F7F" w:rsidRPr="00E10F7F">
        <w:t xml:space="preserve">describe the </w:t>
      </w:r>
      <w:r w:rsidR="00E10F7F">
        <w:t xml:space="preserve">venture’s </w:t>
      </w:r>
      <w:r w:rsidR="00E10F7F" w:rsidRPr="00E10F7F">
        <w:lastRenderedPageBreak/>
        <w:t>problem, competition or state of the art, technology solution, value proposition, and technology and business development progress to date.</w:t>
      </w:r>
    </w:p>
    <w:p w14:paraId="4B2BC536" w14:textId="6C1C5521" w:rsidR="007D3E12" w:rsidRPr="004C33A0" w:rsidRDefault="005809EF" w:rsidP="005073E2">
      <w:pPr>
        <w:pStyle w:val="ListParagraph"/>
        <w:numPr>
          <w:ilvl w:val="1"/>
          <w:numId w:val="5"/>
        </w:numPr>
        <w:spacing w:after="120" w:line="240" w:lineRule="auto"/>
        <w:contextualSpacing w:val="0"/>
        <w:rPr>
          <w:b/>
          <w:bCs/>
          <w:sz w:val="28"/>
          <w:szCs w:val="28"/>
        </w:rPr>
      </w:pPr>
      <w:r>
        <w:rPr>
          <w:b/>
          <w:bCs/>
        </w:rPr>
        <w:t>Pitch</w:t>
      </w:r>
    </w:p>
    <w:p w14:paraId="0BABF510" w14:textId="0481236D" w:rsidR="004C33A0" w:rsidRPr="004C33A0" w:rsidRDefault="0067152A" w:rsidP="005073E2">
      <w:pPr>
        <w:spacing w:after="120" w:line="240" w:lineRule="auto"/>
      </w:pPr>
      <w:r>
        <w:t xml:space="preserve">Applicants who submit compliant online applications will be invited to give an in-person (or virtual, if the applicant prefers) five-minute, investor-style pitch to a review panel, followed by 15 minutes of questions and answers. The pitches will be scheduled in the </w:t>
      </w:r>
      <w:proofErr w:type="gramStart"/>
      <w:r>
        <w:t>time period</w:t>
      </w:r>
      <w:proofErr w:type="gramEnd"/>
      <w:r>
        <w:t xml:space="preserve"> specified on the cover page of this document. </w:t>
      </w:r>
    </w:p>
    <w:p w14:paraId="2775DCD4" w14:textId="77777777" w:rsidR="007D3E12" w:rsidRDefault="007D3E12" w:rsidP="005073E2">
      <w:pPr>
        <w:spacing w:after="120" w:line="240" w:lineRule="auto"/>
      </w:pPr>
    </w:p>
    <w:p w14:paraId="57B4D3B5" w14:textId="4B44E209" w:rsidR="00776628" w:rsidRDefault="00F97D5F" w:rsidP="005073E2">
      <w:pPr>
        <w:pStyle w:val="ListParagraph"/>
        <w:numPr>
          <w:ilvl w:val="0"/>
          <w:numId w:val="5"/>
        </w:numPr>
        <w:spacing w:after="120" w:line="240" w:lineRule="auto"/>
        <w:contextualSpacing w:val="0"/>
        <w:rPr>
          <w:b/>
          <w:bCs/>
          <w:sz w:val="28"/>
          <w:szCs w:val="28"/>
        </w:rPr>
      </w:pPr>
      <w:r>
        <w:rPr>
          <w:b/>
          <w:bCs/>
          <w:sz w:val="28"/>
          <w:szCs w:val="28"/>
        </w:rPr>
        <w:t>Application</w:t>
      </w:r>
      <w:r w:rsidR="00EC7C9A" w:rsidRPr="007D3E12">
        <w:rPr>
          <w:b/>
          <w:bCs/>
          <w:sz w:val="28"/>
          <w:szCs w:val="28"/>
        </w:rPr>
        <w:t xml:space="preserve"> </w:t>
      </w:r>
      <w:r>
        <w:rPr>
          <w:b/>
          <w:bCs/>
          <w:sz w:val="28"/>
          <w:szCs w:val="28"/>
        </w:rPr>
        <w:t>evaluation</w:t>
      </w:r>
    </w:p>
    <w:p w14:paraId="5B95D1F7" w14:textId="1E42BA66" w:rsidR="005333D1" w:rsidRPr="005333D1" w:rsidRDefault="005333D1" w:rsidP="005073E2">
      <w:pPr>
        <w:pStyle w:val="ListParagraph"/>
        <w:numPr>
          <w:ilvl w:val="1"/>
          <w:numId w:val="5"/>
        </w:numPr>
        <w:spacing w:after="120" w:line="240" w:lineRule="auto"/>
        <w:contextualSpacing w:val="0"/>
        <w:rPr>
          <w:b/>
          <w:bCs/>
        </w:rPr>
      </w:pPr>
      <w:r w:rsidRPr="005333D1">
        <w:rPr>
          <w:b/>
          <w:bCs/>
        </w:rPr>
        <w:t>Review criteria</w:t>
      </w:r>
    </w:p>
    <w:p w14:paraId="0EAD763A" w14:textId="0977AA0E" w:rsidR="005333D1" w:rsidRDefault="009C1704" w:rsidP="005073E2">
      <w:pPr>
        <w:spacing w:after="120" w:line="240" w:lineRule="auto"/>
      </w:pPr>
      <w:r>
        <w:t>Online a</w:t>
      </w:r>
      <w:r w:rsidR="0067152A">
        <w:t>pplications</w:t>
      </w:r>
      <w:r w:rsidR="005333D1">
        <w:t xml:space="preserve"> </w:t>
      </w:r>
      <w:r>
        <w:t xml:space="preserve">and pitches </w:t>
      </w:r>
      <w:r w:rsidR="005333D1">
        <w:t>will be evaluated based on the following merit review criteria:</w:t>
      </w:r>
    </w:p>
    <w:p w14:paraId="09EB2607" w14:textId="7A4453AF" w:rsidR="00863DB4" w:rsidRPr="00863DB4" w:rsidRDefault="00863DB4" w:rsidP="009C1704">
      <w:pPr>
        <w:pStyle w:val="ListParagraph"/>
        <w:numPr>
          <w:ilvl w:val="0"/>
          <w:numId w:val="10"/>
        </w:numPr>
        <w:spacing w:after="120" w:line="240" w:lineRule="auto"/>
        <w:contextualSpacing w:val="0"/>
      </w:pPr>
      <w:r w:rsidRPr="009C1704">
        <w:rPr>
          <w:i/>
          <w:iCs/>
        </w:rPr>
        <w:t xml:space="preserve">Market </w:t>
      </w:r>
      <w:r w:rsidR="009C1704" w:rsidRPr="009C1704">
        <w:rPr>
          <w:i/>
          <w:iCs/>
        </w:rPr>
        <w:t>opportunity and Arizona impact:</w:t>
      </w:r>
      <w:r w:rsidR="009C1704">
        <w:t xml:space="preserve"> </w:t>
      </w:r>
      <w:r w:rsidR="003E3C61">
        <w:t>The venture has identified a large and profitable market opportunity</w:t>
      </w:r>
      <w:r w:rsidR="00C54BB5">
        <w:t xml:space="preserve"> that can be captured in a reasonable time</w:t>
      </w:r>
      <w:r w:rsidR="001A4CC5">
        <w:t xml:space="preserve"> </w:t>
      </w:r>
      <w:r w:rsidR="00C54BB5">
        <w:t>frame</w:t>
      </w:r>
      <w:r w:rsidR="003E3C61">
        <w:t xml:space="preserve">. </w:t>
      </w:r>
      <w:r w:rsidR="009C1704">
        <w:t xml:space="preserve">If </w:t>
      </w:r>
      <w:r w:rsidR="003E3C61">
        <w:t xml:space="preserve">the product development and business plan are </w:t>
      </w:r>
      <w:r w:rsidR="009C1704">
        <w:t>successful</w:t>
      </w:r>
      <w:r w:rsidR="003E3C61">
        <w:t>ly executed</w:t>
      </w:r>
      <w:r w:rsidR="009C1704">
        <w:t xml:space="preserve">, </w:t>
      </w:r>
      <w:r w:rsidR="003E3C61">
        <w:t>the venture will</w:t>
      </w:r>
      <w:r w:rsidR="009C1704">
        <w:t xml:space="preserve"> have significant impact—or lay the foundation for subsequent significant impact—on the Arizona economy</w:t>
      </w:r>
      <w:r w:rsidR="00C54BB5">
        <w:t>.</w:t>
      </w:r>
      <w:r w:rsidR="009C1704">
        <w:t xml:space="preserve"> Impact may take the form of </w:t>
      </w:r>
      <w:r w:rsidR="00C54BB5">
        <w:t>job creation, wealth creation</w:t>
      </w:r>
      <w:r w:rsidR="009C1704">
        <w:t xml:space="preserve">, </w:t>
      </w:r>
      <w:r w:rsidR="00C54BB5">
        <w:t xml:space="preserve">economic diversity and stability, </w:t>
      </w:r>
      <w:r w:rsidR="009C1704">
        <w:t>or other outcomes related to the transition to a New Economy.</w:t>
      </w:r>
    </w:p>
    <w:p w14:paraId="74BA2B7B" w14:textId="2A6D5137" w:rsidR="00EC1927" w:rsidRDefault="00863DB4" w:rsidP="005073E2">
      <w:pPr>
        <w:pStyle w:val="ListParagraph"/>
        <w:numPr>
          <w:ilvl w:val="0"/>
          <w:numId w:val="10"/>
        </w:numPr>
        <w:spacing w:after="120" w:line="240" w:lineRule="auto"/>
        <w:contextualSpacing w:val="0"/>
      </w:pPr>
      <w:r>
        <w:rPr>
          <w:i/>
          <w:iCs/>
        </w:rPr>
        <w:t>Technology innovation and a</w:t>
      </w:r>
      <w:r w:rsidR="005321CD" w:rsidRPr="00EC1927">
        <w:rPr>
          <w:i/>
          <w:iCs/>
        </w:rPr>
        <w:t xml:space="preserve">lignment </w:t>
      </w:r>
      <w:r w:rsidR="00EC1927">
        <w:rPr>
          <w:i/>
          <w:iCs/>
        </w:rPr>
        <w:t xml:space="preserve">with </w:t>
      </w:r>
      <w:r>
        <w:rPr>
          <w:i/>
          <w:iCs/>
        </w:rPr>
        <w:t>an</w:t>
      </w:r>
      <w:r w:rsidR="00EC1927">
        <w:rPr>
          <w:i/>
          <w:iCs/>
        </w:rPr>
        <w:t xml:space="preserve"> STC</w:t>
      </w:r>
      <w:r w:rsidR="00EC1927" w:rsidRPr="00EC1927">
        <w:rPr>
          <w:i/>
          <w:iCs/>
        </w:rPr>
        <w:t>:</w:t>
      </w:r>
      <w:r w:rsidR="008F5FEB">
        <w:t xml:space="preserve"> </w:t>
      </w:r>
      <w:r w:rsidR="00C54BB5">
        <w:t xml:space="preserve">The venture is based upon compelling and differentiated technology that has roots in ASU IP. </w:t>
      </w:r>
      <w:r w:rsidR="008F5FEB">
        <w:t xml:space="preserve">The </w:t>
      </w:r>
      <w:r w:rsidR="00C54BB5">
        <w:t>technology</w:t>
      </w:r>
      <w:r w:rsidR="008F5FEB">
        <w:t xml:space="preserve"> aligns with </w:t>
      </w:r>
      <w:r w:rsidR="00C54BB5">
        <w:t>one or more STC thrust areas</w:t>
      </w:r>
      <w:r w:rsidR="008F5FEB">
        <w:t xml:space="preserve"> or </w:t>
      </w:r>
      <w:r w:rsidR="00C54BB5">
        <w:t xml:space="preserve">aligns with </w:t>
      </w:r>
      <w:r w:rsidR="001A4CC5">
        <w:t xml:space="preserve">a </w:t>
      </w:r>
      <w:r w:rsidR="00C54BB5">
        <w:t>deep technical area that is not captured within an existing STC but is important to creating a New Economy in Arizona</w:t>
      </w:r>
      <w:r w:rsidR="008F5FEB">
        <w:t>.</w:t>
      </w:r>
    </w:p>
    <w:p w14:paraId="5AAF9F24" w14:textId="4457652D" w:rsidR="00E25836" w:rsidRDefault="009C1704" w:rsidP="005073E2">
      <w:pPr>
        <w:pStyle w:val="ListParagraph"/>
        <w:numPr>
          <w:ilvl w:val="0"/>
          <w:numId w:val="10"/>
        </w:numPr>
        <w:spacing w:after="120" w:line="240" w:lineRule="auto"/>
        <w:contextualSpacing w:val="0"/>
      </w:pPr>
      <w:r>
        <w:rPr>
          <w:i/>
          <w:iCs/>
        </w:rPr>
        <w:t>Business</w:t>
      </w:r>
      <w:r w:rsidR="00EC1927" w:rsidRPr="00EC1927">
        <w:rPr>
          <w:i/>
          <w:iCs/>
        </w:rPr>
        <w:t xml:space="preserve"> plan and </w:t>
      </w:r>
      <w:r>
        <w:rPr>
          <w:i/>
          <w:iCs/>
        </w:rPr>
        <w:t>Fellowship role</w:t>
      </w:r>
      <w:r w:rsidR="00EC1927" w:rsidRPr="00EC1927">
        <w:rPr>
          <w:i/>
          <w:iCs/>
        </w:rPr>
        <w:t>:</w:t>
      </w:r>
      <w:r w:rsidR="00EC1927">
        <w:t xml:space="preserve"> </w:t>
      </w:r>
      <w:r w:rsidR="00EA43FF">
        <w:t xml:space="preserve">The </w:t>
      </w:r>
      <w:r w:rsidR="00E25836">
        <w:t>venture</w:t>
      </w:r>
      <w:r w:rsidR="00EA43FF">
        <w:t xml:space="preserve"> has a </w:t>
      </w:r>
      <w:r w:rsidR="00E25836">
        <w:t>sound business plan and has achieved early milestones in executing it. More particularly, the venture knows its customers, has market traction with those customers and other stakeholders, has a business model that fits the market in which it is operating, and has a credible growth path. An STC Entrepreneurial Fellowship provides a key opportunity for the venture and applicant that may be otherwise inaccessible, and the applicant has</w:t>
      </w:r>
      <w:r w:rsidR="00760497">
        <w:t xml:space="preserve"> identified important milestones that the venture will </w:t>
      </w:r>
      <w:r w:rsidR="00E8230C">
        <w:t>meet</w:t>
      </w:r>
      <w:r w:rsidR="00760497">
        <w:t xml:space="preserve"> during the Fellowship period with </w:t>
      </w:r>
      <w:r w:rsidR="00F45B5C">
        <w:t>the Fellowship’s</w:t>
      </w:r>
      <w:r w:rsidR="00760497">
        <w:t xml:space="preserve"> support.</w:t>
      </w:r>
      <w:r w:rsidR="00E25836">
        <w:t xml:space="preserve"> </w:t>
      </w:r>
    </w:p>
    <w:p w14:paraId="048084F5" w14:textId="3B643813" w:rsidR="00EC1927" w:rsidRPr="00EC1927" w:rsidRDefault="00E25836" w:rsidP="00E8230C">
      <w:pPr>
        <w:pStyle w:val="ListParagraph"/>
        <w:numPr>
          <w:ilvl w:val="0"/>
          <w:numId w:val="10"/>
        </w:numPr>
        <w:spacing w:after="120" w:line="240" w:lineRule="auto"/>
        <w:contextualSpacing w:val="0"/>
        <w:rPr>
          <w:i/>
          <w:iCs/>
        </w:rPr>
      </w:pPr>
      <w:r>
        <w:rPr>
          <w:i/>
          <w:iCs/>
        </w:rPr>
        <w:t>Applicant and t</w:t>
      </w:r>
      <w:r w:rsidR="005321CD" w:rsidRPr="00EC1927">
        <w:rPr>
          <w:i/>
          <w:iCs/>
        </w:rPr>
        <w:t>eam</w:t>
      </w:r>
      <w:r w:rsidR="00EC1927" w:rsidRPr="00EC1927">
        <w:rPr>
          <w:i/>
          <w:iCs/>
        </w:rPr>
        <w:t>:</w:t>
      </w:r>
      <w:r w:rsidR="005E1F07">
        <w:t xml:space="preserve"> The </w:t>
      </w:r>
      <w:r w:rsidR="00760497">
        <w:t xml:space="preserve">applicant is supported by a committed team with diverse expertise that spans business and technology. The applicant (and potentially other team members) </w:t>
      </w:r>
      <w:proofErr w:type="gramStart"/>
      <w:r w:rsidR="00760497">
        <w:t>ha</w:t>
      </w:r>
      <w:r w:rsidR="00F45B5C">
        <w:t>ve</w:t>
      </w:r>
      <w:proofErr w:type="gramEnd"/>
      <w:r w:rsidR="00760497">
        <w:t xml:space="preserve"> utilized resources at and beyond ASU to learn and practice entrepreneurship, such </w:t>
      </w:r>
      <w:r w:rsidR="00E8230C">
        <w:t>as Venture Devils and I-Corps. The venture is likely to be successful under the</w:t>
      </w:r>
      <w:r w:rsidR="00F45B5C">
        <w:t xml:space="preserve"> applicant’s</w:t>
      </w:r>
      <w:r w:rsidR="00E8230C">
        <w:t xml:space="preserve"> leadership.</w:t>
      </w:r>
    </w:p>
    <w:p w14:paraId="2A0917C3" w14:textId="77777777" w:rsidR="005475CD" w:rsidRPr="005475CD" w:rsidRDefault="005321CD" w:rsidP="005073E2">
      <w:pPr>
        <w:pStyle w:val="ListParagraph"/>
        <w:numPr>
          <w:ilvl w:val="1"/>
          <w:numId w:val="5"/>
        </w:numPr>
        <w:spacing w:after="120" w:line="240" w:lineRule="auto"/>
        <w:contextualSpacing w:val="0"/>
        <w:rPr>
          <w:b/>
          <w:bCs/>
        </w:rPr>
      </w:pPr>
      <w:r w:rsidRPr="005475CD">
        <w:rPr>
          <w:b/>
          <w:bCs/>
        </w:rPr>
        <w:t>Review panel</w:t>
      </w:r>
    </w:p>
    <w:p w14:paraId="0C13D091" w14:textId="4E52B392" w:rsidR="005321CD" w:rsidRDefault="006202D3" w:rsidP="005073E2">
      <w:pPr>
        <w:spacing w:after="120" w:line="240" w:lineRule="auto"/>
      </w:pPr>
      <w:r>
        <w:t>Online applications and pitches</w:t>
      </w:r>
      <w:r w:rsidR="005475CD">
        <w:t xml:space="preserve"> will be reviewed and evaluated by a</w:t>
      </w:r>
      <w:r w:rsidR="005321CD" w:rsidRPr="005321CD">
        <w:t xml:space="preserve"> panel consisting of at least STC Director</w:t>
      </w:r>
      <w:r>
        <w:t>s, ASU Entrepreneurship + Innovation staff, and the Arizona investment community.</w:t>
      </w:r>
    </w:p>
    <w:p w14:paraId="5F582E57" w14:textId="26D324A1" w:rsidR="00776628" w:rsidRPr="00377586" w:rsidRDefault="00377586" w:rsidP="005073E2">
      <w:pPr>
        <w:pStyle w:val="ListParagraph"/>
        <w:numPr>
          <w:ilvl w:val="1"/>
          <w:numId w:val="5"/>
        </w:numPr>
        <w:spacing w:after="120" w:line="240" w:lineRule="auto"/>
        <w:contextualSpacing w:val="0"/>
        <w:rPr>
          <w:b/>
          <w:bCs/>
        </w:rPr>
      </w:pPr>
      <w:r w:rsidRPr="00377586">
        <w:rPr>
          <w:b/>
          <w:bCs/>
        </w:rPr>
        <w:t>Award selection</w:t>
      </w:r>
    </w:p>
    <w:p w14:paraId="2222A7B1" w14:textId="013390F6" w:rsidR="00EC7C9A" w:rsidRDefault="00377586" w:rsidP="005073E2">
      <w:pPr>
        <w:spacing w:after="120" w:line="240" w:lineRule="auto"/>
      </w:pPr>
      <w:r>
        <w:t xml:space="preserve">Well-reviewed </w:t>
      </w:r>
      <w:r w:rsidR="00D43A39">
        <w:t>applications</w:t>
      </w:r>
      <w:r>
        <w:t xml:space="preserve"> will be </w:t>
      </w:r>
      <w:r w:rsidR="000A0DBF">
        <w:t xml:space="preserve">recommended for funding by </w:t>
      </w:r>
      <w:r>
        <w:t xml:space="preserve">the review panel </w:t>
      </w:r>
      <w:r w:rsidR="000A0DBF">
        <w:t xml:space="preserve">to the ASU administration, which will then select </w:t>
      </w:r>
      <w:r w:rsidR="00BA2980">
        <w:t>applicants for</w:t>
      </w:r>
      <w:r>
        <w:t xml:space="preserve"> </w:t>
      </w:r>
      <w:r w:rsidR="00BA2980">
        <w:t xml:space="preserve">Fellowship </w:t>
      </w:r>
      <w:r>
        <w:t>award</w:t>
      </w:r>
      <w:r w:rsidR="00BA2980">
        <w:t>s</w:t>
      </w:r>
      <w:r>
        <w:t xml:space="preserve">. The anticipated date for notification of selection is </w:t>
      </w:r>
      <w:r w:rsidR="00B0266A">
        <w:t xml:space="preserve">given on the cover page of this </w:t>
      </w:r>
      <w:r w:rsidR="00BA2980">
        <w:t>document</w:t>
      </w:r>
      <w:r>
        <w:t>. All applicants will receive reviewer comments f</w:t>
      </w:r>
      <w:r w:rsidR="00BA2980">
        <w:t>rom</w:t>
      </w:r>
      <w:r>
        <w:t xml:space="preserve"> their </w:t>
      </w:r>
      <w:r w:rsidR="00BA2980">
        <w:t>pitches</w:t>
      </w:r>
      <w:r>
        <w:t>.</w:t>
      </w:r>
    </w:p>
    <w:p w14:paraId="77401C4B" w14:textId="77777777" w:rsidR="00377586" w:rsidRDefault="00377586" w:rsidP="005073E2">
      <w:pPr>
        <w:spacing w:after="120" w:line="240" w:lineRule="auto"/>
      </w:pPr>
    </w:p>
    <w:p w14:paraId="48128470" w14:textId="219685C4" w:rsidR="00EC7C9A" w:rsidRDefault="00F97D5F" w:rsidP="005073E2">
      <w:pPr>
        <w:pStyle w:val="ListParagraph"/>
        <w:numPr>
          <w:ilvl w:val="0"/>
          <w:numId w:val="5"/>
        </w:numPr>
        <w:spacing w:after="120" w:line="240" w:lineRule="auto"/>
        <w:contextualSpacing w:val="0"/>
        <w:rPr>
          <w:b/>
          <w:bCs/>
          <w:sz w:val="28"/>
          <w:szCs w:val="28"/>
        </w:rPr>
      </w:pPr>
      <w:r>
        <w:rPr>
          <w:b/>
          <w:bCs/>
          <w:sz w:val="28"/>
          <w:szCs w:val="28"/>
        </w:rPr>
        <w:lastRenderedPageBreak/>
        <w:t>Fellowship</w:t>
      </w:r>
      <w:r w:rsidR="00EC7C9A" w:rsidRPr="007D3E12">
        <w:rPr>
          <w:b/>
          <w:bCs/>
          <w:sz w:val="28"/>
          <w:szCs w:val="28"/>
        </w:rPr>
        <w:t xml:space="preserve"> administration information</w:t>
      </w:r>
    </w:p>
    <w:p w14:paraId="500916E3" w14:textId="3904721C" w:rsidR="00B0266A" w:rsidRDefault="00B0266A" w:rsidP="005073E2">
      <w:pPr>
        <w:pStyle w:val="ListParagraph"/>
        <w:numPr>
          <w:ilvl w:val="1"/>
          <w:numId w:val="5"/>
        </w:numPr>
        <w:spacing w:after="120" w:line="240" w:lineRule="auto"/>
        <w:contextualSpacing w:val="0"/>
        <w:rPr>
          <w:b/>
          <w:bCs/>
        </w:rPr>
      </w:pPr>
      <w:r w:rsidRPr="00B0266A">
        <w:rPr>
          <w:b/>
          <w:bCs/>
        </w:rPr>
        <w:t>Award n</w:t>
      </w:r>
      <w:r w:rsidR="005321CD" w:rsidRPr="00B0266A">
        <w:rPr>
          <w:b/>
          <w:bCs/>
        </w:rPr>
        <w:t xml:space="preserve">egotiation </w:t>
      </w:r>
    </w:p>
    <w:p w14:paraId="7A9A7CD3" w14:textId="6DC9A220" w:rsidR="00B0266A" w:rsidRPr="00B0266A" w:rsidRDefault="00B0266A" w:rsidP="005073E2">
      <w:pPr>
        <w:spacing w:after="120" w:line="240" w:lineRule="auto"/>
      </w:pPr>
      <w:r>
        <w:t xml:space="preserve">Selected applicants will be invited to </w:t>
      </w:r>
      <w:r w:rsidR="007A2B33">
        <w:t xml:space="preserve">construct a detailed budget with the help of a Research Administrator. </w:t>
      </w:r>
      <w:r w:rsidR="005F4DC0">
        <w:t>These incoming Fellows will then receive a one-year employment contract</w:t>
      </w:r>
      <w:r w:rsidR="000F2762">
        <w:t xml:space="preserve">, </w:t>
      </w:r>
      <w:r w:rsidR="005F4DC0">
        <w:t>an account to charge for Core Facility and other ASU resource usage</w:t>
      </w:r>
      <w:r w:rsidR="000F2762">
        <w:t xml:space="preserve">, and </w:t>
      </w:r>
      <w:r w:rsidR="00974D0F">
        <w:t>access to</w:t>
      </w:r>
      <w:r w:rsidR="000F2762">
        <w:t xml:space="preserve"> appropriate ASU tech-commercialization </w:t>
      </w:r>
      <w:r w:rsidR="00974D0F">
        <w:t>spaces</w:t>
      </w:r>
      <w:r w:rsidR="000F2762">
        <w:t xml:space="preserve"> (e.g., </w:t>
      </w:r>
      <w:r w:rsidR="00974D0F">
        <w:t xml:space="preserve">at </w:t>
      </w:r>
      <w:proofErr w:type="spellStart"/>
      <w:r w:rsidR="000F2762">
        <w:t>Skysong</w:t>
      </w:r>
      <w:proofErr w:type="spellEnd"/>
      <w:r w:rsidR="000F2762">
        <w:t xml:space="preserve">, </w:t>
      </w:r>
      <w:proofErr w:type="spellStart"/>
      <w:r w:rsidR="000F2762">
        <w:t>MacroTechnology</w:t>
      </w:r>
      <w:proofErr w:type="spellEnd"/>
      <w:r w:rsidR="000F2762">
        <w:t xml:space="preserve"> Works, </w:t>
      </w:r>
      <w:proofErr w:type="spellStart"/>
      <w:r w:rsidR="000F2762">
        <w:t>WearTech</w:t>
      </w:r>
      <w:proofErr w:type="spellEnd"/>
      <w:r w:rsidR="000F2762">
        <w:t>, or others)</w:t>
      </w:r>
      <w:r w:rsidR="00974D0F">
        <w:t xml:space="preserve"> and events</w:t>
      </w:r>
      <w:r w:rsidR="005F4DC0">
        <w:t>.</w:t>
      </w:r>
    </w:p>
    <w:p w14:paraId="1EF3861C" w14:textId="66A1CA1D" w:rsidR="005073E2" w:rsidRDefault="005F4DC0" w:rsidP="005073E2">
      <w:pPr>
        <w:pStyle w:val="ListParagraph"/>
        <w:numPr>
          <w:ilvl w:val="1"/>
          <w:numId w:val="5"/>
        </w:numPr>
        <w:spacing w:after="120" w:line="240" w:lineRule="auto"/>
        <w:contextualSpacing w:val="0"/>
        <w:rPr>
          <w:b/>
          <w:bCs/>
        </w:rPr>
      </w:pPr>
      <w:r>
        <w:rPr>
          <w:b/>
          <w:bCs/>
        </w:rPr>
        <w:t>Fellowship</w:t>
      </w:r>
      <w:r w:rsidR="00B0266A" w:rsidRPr="00B0266A">
        <w:rPr>
          <w:b/>
          <w:bCs/>
        </w:rPr>
        <w:t xml:space="preserve"> </w:t>
      </w:r>
      <w:proofErr w:type="gramStart"/>
      <w:r w:rsidR="00B0266A" w:rsidRPr="00B0266A">
        <w:rPr>
          <w:b/>
          <w:bCs/>
        </w:rPr>
        <w:t>s</w:t>
      </w:r>
      <w:r w:rsidR="005321CD" w:rsidRPr="00B0266A">
        <w:rPr>
          <w:b/>
          <w:bCs/>
        </w:rPr>
        <w:t>tart</w:t>
      </w:r>
      <w:proofErr w:type="gramEnd"/>
      <w:r w:rsidR="005321CD" w:rsidRPr="00B0266A">
        <w:rPr>
          <w:b/>
          <w:bCs/>
        </w:rPr>
        <w:t xml:space="preserve"> date</w:t>
      </w:r>
    </w:p>
    <w:p w14:paraId="020EF011" w14:textId="3CD57DBD" w:rsidR="005073E2" w:rsidRPr="005073E2" w:rsidRDefault="009C1704" w:rsidP="005073E2">
      <w:pPr>
        <w:spacing w:after="120" w:line="240" w:lineRule="auto"/>
      </w:pPr>
      <w:r>
        <w:t>Fellowships</w:t>
      </w:r>
      <w:r w:rsidR="005073E2" w:rsidRPr="005073E2">
        <w:t xml:space="preserve"> </w:t>
      </w:r>
      <w:r w:rsidR="005073E2">
        <w:t xml:space="preserve">are expected to commence in the time range given on the cover page of this </w:t>
      </w:r>
      <w:r w:rsidR="00D43A39">
        <w:t>document</w:t>
      </w:r>
      <w:r w:rsidR="005073E2">
        <w:t xml:space="preserve">. </w:t>
      </w:r>
    </w:p>
    <w:sectPr w:rsidR="005073E2" w:rsidRPr="005073E2">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B1C38" w14:textId="77777777" w:rsidR="003925FB" w:rsidRDefault="003925FB" w:rsidP="00DB0859">
      <w:pPr>
        <w:spacing w:after="0" w:line="240" w:lineRule="auto"/>
      </w:pPr>
      <w:r>
        <w:separator/>
      </w:r>
    </w:p>
  </w:endnote>
  <w:endnote w:type="continuationSeparator" w:id="0">
    <w:p w14:paraId="650E4E22" w14:textId="77777777" w:rsidR="003925FB" w:rsidRDefault="003925FB" w:rsidP="00DB0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018646"/>
      <w:docPartObj>
        <w:docPartGallery w:val="Page Numbers (Bottom of Page)"/>
        <w:docPartUnique/>
      </w:docPartObj>
    </w:sdtPr>
    <w:sdtEndPr>
      <w:rPr>
        <w:noProof/>
      </w:rPr>
    </w:sdtEndPr>
    <w:sdtContent>
      <w:p w14:paraId="6F4B091F" w14:textId="0B0266AC" w:rsidR="00DB0859" w:rsidRDefault="00DB08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D45FAB" w14:textId="77777777" w:rsidR="00DB0859" w:rsidRDefault="00DB0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4D8EC" w14:textId="77777777" w:rsidR="003925FB" w:rsidRDefault="003925FB" w:rsidP="00DB0859">
      <w:pPr>
        <w:spacing w:after="0" w:line="240" w:lineRule="auto"/>
      </w:pPr>
      <w:r>
        <w:separator/>
      </w:r>
    </w:p>
  </w:footnote>
  <w:footnote w:type="continuationSeparator" w:id="0">
    <w:p w14:paraId="41DEC538" w14:textId="77777777" w:rsidR="003925FB" w:rsidRDefault="003925FB" w:rsidP="00DB08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171DF"/>
    <w:multiLevelType w:val="hybridMultilevel"/>
    <w:tmpl w:val="9438C400"/>
    <w:lvl w:ilvl="0" w:tplc="8028E4E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23885"/>
    <w:multiLevelType w:val="hybridMultilevel"/>
    <w:tmpl w:val="02B6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F276C"/>
    <w:multiLevelType w:val="multilevel"/>
    <w:tmpl w:val="4D7C1B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B55293"/>
    <w:multiLevelType w:val="hybridMultilevel"/>
    <w:tmpl w:val="34806B40"/>
    <w:lvl w:ilvl="0" w:tplc="81ECC33A">
      <w:start w:val="1"/>
      <w:numFmt w:val="lowerLetter"/>
      <w:lvlText w:val="%1."/>
      <w:lvlJc w:val="left"/>
      <w:pPr>
        <w:ind w:left="144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B68FF"/>
    <w:multiLevelType w:val="multilevel"/>
    <w:tmpl w:val="90385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D970F9"/>
    <w:multiLevelType w:val="hybridMultilevel"/>
    <w:tmpl w:val="922AD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F12CCD"/>
    <w:multiLevelType w:val="hybridMultilevel"/>
    <w:tmpl w:val="DFD8F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89A5898"/>
    <w:multiLevelType w:val="hybridMultilevel"/>
    <w:tmpl w:val="1F7AE75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D66510E"/>
    <w:multiLevelType w:val="hybridMultilevel"/>
    <w:tmpl w:val="87344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B21EFB"/>
    <w:multiLevelType w:val="hybridMultilevel"/>
    <w:tmpl w:val="939C688E"/>
    <w:lvl w:ilvl="0" w:tplc="81ECC33A">
      <w:start w:val="1"/>
      <w:numFmt w:val="lowerLetter"/>
      <w:lvlText w:val="%1."/>
      <w:lvlJc w:val="left"/>
      <w:pPr>
        <w:ind w:left="144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3E3F9B"/>
    <w:multiLevelType w:val="hybridMultilevel"/>
    <w:tmpl w:val="D6AC1A9C"/>
    <w:lvl w:ilvl="0" w:tplc="81ECC33A">
      <w:start w:val="1"/>
      <w:numFmt w:val="lowerLetter"/>
      <w:lvlText w:val="%1."/>
      <w:lvlJc w:val="left"/>
      <w:pPr>
        <w:ind w:left="144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D80737"/>
    <w:multiLevelType w:val="multilevel"/>
    <w:tmpl w:val="EDF805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4A10A5F"/>
    <w:multiLevelType w:val="hybridMultilevel"/>
    <w:tmpl w:val="D89ECF4E"/>
    <w:lvl w:ilvl="0" w:tplc="8028E4EC">
      <w:start w:val="1"/>
      <w:numFmt w:val="decimal"/>
      <w:lvlText w:val="%1."/>
      <w:lvlJc w:val="left"/>
      <w:pPr>
        <w:ind w:left="720" w:hanging="360"/>
      </w:pPr>
      <w:rPr>
        <w:b/>
        <w:bCs/>
      </w:rPr>
    </w:lvl>
    <w:lvl w:ilvl="1" w:tplc="81ECC33A">
      <w:start w:val="1"/>
      <w:numFmt w:val="lowerLetter"/>
      <w:lvlText w:val="%2."/>
      <w:lvlJc w:val="left"/>
      <w:pPr>
        <w:ind w:left="1440" w:hanging="360"/>
      </w:pPr>
      <w:rPr>
        <w:b/>
        <w:bCs/>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8175787">
    <w:abstractNumId w:val="5"/>
  </w:num>
  <w:num w:numId="2" w16cid:durableId="566888478">
    <w:abstractNumId w:val="4"/>
  </w:num>
  <w:num w:numId="3" w16cid:durableId="219482952">
    <w:abstractNumId w:val="6"/>
  </w:num>
  <w:num w:numId="4" w16cid:durableId="1142455816">
    <w:abstractNumId w:val="11"/>
  </w:num>
  <w:num w:numId="5" w16cid:durableId="1867021420">
    <w:abstractNumId w:val="12"/>
  </w:num>
  <w:num w:numId="6" w16cid:durableId="2129034990">
    <w:abstractNumId w:val="6"/>
  </w:num>
  <w:num w:numId="7" w16cid:durableId="818811285">
    <w:abstractNumId w:val="2"/>
  </w:num>
  <w:num w:numId="8" w16cid:durableId="707485885">
    <w:abstractNumId w:val="0"/>
  </w:num>
  <w:num w:numId="9" w16cid:durableId="1599286681">
    <w:abstractNumId w:val="7"/>
  </w:num>
  <w:num w:numId="10" w16cid:durableId="1422677384">
    <w:abstractNumId w:val="1"/>
  </w:num>
  <w:num w:numId="11" w16cid:durableId="905144671">
    <w:abstractNumId w:val="10"/>
  </w:num>
  <w:num w:numId="12" w16cid:durableId="1567640165">
    <w:abstractNumId w:val="9"/>
  </w:num>
  <w:num w:numId="13" w16cid:durableId="648634043">
    <w:abstractNumId w:val="3"/>
  </w:num>
  <w:num w:numId="14" w16cid:durableId="11951958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686"/>
    <w:rsid w:val="0000656E"/>
    <w:rsid w:val="00007786"/>
    <w:rsid w:val="000115E7"/>
    <w:rsid w:val="000115F5"/>
    <w:rsid w:val="00014ACB"/>
    <w:rsid w:val="00026B54"/>
    <w:rsid w:val="00032037"/>
    <w:rsid w:val="00033E2D"/>
    <w:rsid w:val="00034B9B"/>
    <w:rsid w:val="000477DC"/>
    <w:rsid w:val="00053DE3"/>
    <w:rsid w:val="000556D1"/>
    <w:rsid w:val="00061DEF"/>
    <w:rsid w:val="000726E9"/>
    <w:rsid w:val="00095171"/>
    <w:rsid w:val="000A0DBF"/>
    <w:rsid w:val="000C4D1E"/>
    <w:rsid w:val="000E759E"/>
    <w:rsid w:val="000F2762"/>
    <w:rsid w:val="000F563A"/>
    <w:rsid w:val="0012363D"/>
    <w:rsid w:val="00140DE2"/>
    <w:rsid w:val="00162AF2"/>
    <w:rsid w:val="00163D96"/>
    <w:rsid w:val="0017567D"/>
    <w:rsid w:val="001A4CC5"/>
    <w:rsid w:val="001B3A79"/>
    <w:rsid w:val="001B4E07"/>
    <w:rsid w:val="001E70FB"/>
    <w:rsid w:val="00206230"/>
    <w:rsid w:val="00226322"/>
    <w:rsid w:val="0023115E"/>
    <w:rsid w:val="00247D88"/>
    <w:rsid w:val="00261857"/>
    <w:rsid w:val="00272C6C"/>
    <w:rsid w:val="00282D40"/>
    <w:rsid w:val="002907E3"/>
    <w:rsid w:val="002A6CD3"/>
    <w:rsid w:val="002B123D"/>
    <w:rsid w:val="002C3502"/>
    <w:rsid w:val="002C6172"/>
    <w:rsid w:val="002E0A1C"/>
    <w:rsid w:val="002E62BB"/>
    <w:rsid w:val="00300EB4"/>
    <w:rsid w:val="00301C26"/>
    <w:rsid w:val="003045D2"/>
    <w:rsid w:val="00337886"/>
    <w:rsid w:val="0036446E"/>
    <w:rsid w:val="00377586"/>
    <w:rsid w:val="00382F53"/>
    <w:rsid w:val="00387D91"/>
    <w:rsid w:val="003925FB"/>
    <w:rsid w:val="003A3694"/>
    <w:rsid w:val="003A583F"/>
    <w:rsid w:val="003B3B48"/>
    <w:rsid w:val="003B4686"/>
    <w:rsid w:val="003E24F7"/>
    <w:rsid w:val="003E3C61"/>
    <w:rsid w:val="003F14BE"/>
    <w:rsid w:val="003F2867"/>
    <w:rsid w:val="003F5947"/>
    <w:rsid w:val="00411CCE"/>
    <w:rsid w:val="0041461B"/>
    <w:rsid w:val="0041597C"/>
    <w:rsid w:val="00427C91"/>
    <w:rsid w:val="0044700B"/>
    <w:rsid w:val="0047109D"/>
    <w:rsid w:val="00481C15"/>
    <w:rsid w:val="004952BB"/>
    <w:rsid w:val="004B1286"/>
    <w:rsid w:val="004C33A0"/>
    <w:rsid w:val="004C54A5"/>
    <w:rsid w:val="004D2D37"/>
    <w:rsid w:val="004D55C5"/>
    <w:rsid w:val="004E1CB2"/>
    <w:rsid w:val="004E786E"/>
    <w:rsid w:val="0050355B"/>
    <w:rsid w:val="0050386C"/>
    <w:rsid w:val="00504837"/>
    <w:rsid w:val="005073E2"/>
    <w:rsid w:val="00530E84"/>
    <w:rsid w:val="005321CD"/>
    <w:rsid w:val="005333D1"/>
    <w:rsid w:val="005475CD"/>
    <w:rsid w:val="005731AB"/>
    <w:rsid w:val="00575EF8"/>
    <w:rsid w:val="005809EF"/>
    <w:rsid w:val="005A4A9B"/>
    <w:rsid w:val="005C26CE"/>
    <w:rsid w:val="005E1F07"/>
    <w:rsid w:val="005F4DC0"/>
    <w:rsid w:val="005F7425"/>
    <w:rsid w:val="006202D3"/>
    <w:rsid w:val="00621B0B"/>
    <w:rsid w:val="006263D0"/>
    <w:rsid w:val="00641E4C"/>
    <w:rsid w:val="00647253"/>
    <w:rsid w:val="00654DF0"/>
    <w:rsid w:val="0067152A"/>
    <w:rsid w:val="006817BD"/>
    <w:rsid w:val="00684863"/>
    <w:rsid w:val="00685B4E"/>
    <w:rsid w:val="00692228"/>
    <w:rsid w:val="006C6D30"/>
    <w:rsid w:val="006D4328"/>
    <w:rsid w:val="006E1D90"/>
    <w:rsid w:val="00730B7D"/>
    <w:rsid w:val="007371EC"/>
    <w:rsid w:val="0074006E"/>
    <w:rsid w:val="00752DC4"/>
    <w:rsid w:val="00754CDD"/>
    <w:rsid w:val="00754E6F"/>
    <w:rsid w:val="00760497"/>
    <w:rsid w:val="007618A8"/>
    <w:rsid w:val="00763838"/>
    <w:rsid w:val="0076657E"/>
    <w:rsid w:val="0077024E"/>
    <w:rsid w:val="00776628"/>
    <w:rsid w:val="0077722E"/>
    <w:rsid w:val="00782C01"/>
    <w:rsid w:val="00786E66"/>
    <w:rsid w:val="007A07A9"/>
    <w:rsid w:val="007A2B33"/>
    <w:rsid w:val="007A62B0"/>
    <w:rsid w:val="007B423B"/>
    <w:rsid w:val="007D1CD1"/>
    <w:rsid w:val="007D3E12"/>
    <w:rsid w:val="007E043E"/>
    <w:rsid w:val="007E233D"/>
    <w:rsid w:val="007F1105"/>
    <w:rsid w:val="007F2B2E"/>
    <w:rsid w:val="00800B37"/>
    <w:rsid w:val="008066A9"/>
    <w:rsid w:val="00820559"/>
    <w:rsid w:val="00820BD7"/>
    <w:rsid w:val="00831904"/>
    <w:rsid w:val="00841096"/>
    <w:rsid w:val="008454F8"/>
    <w:rsid w:val="00853644"/>
    <w:rsid w:val="00863DB4"/>
    <w:rsid w:val="00871012"/>
    <w:rsid w:val="00882339"/>
    <w:rsid w:val="0088495F"/>
    <w:rsid w:val="008A0D78"/>
    <w:rsid w:val="008A69BB"/>
    <w:rsid w:val="008B00B6"/>
    <w:rsid w:val="008B37E0"/>
    <w:rsid w:val="008B3ACC"/>
    <w:rsid w:val="008B6823"/>
    <w:rsid w:val="008F5FEB"/>
    <w:rsid w:val="008F6399"/>
    <w:rsid w:val="00917719"/>
    <w:rsid w:val="00931E34"/>
    <w:rsid w:val="009322C4"/>
    <w:rsid w:val="00950775"/>
    <w:rsid w:val="009737B6"/>
    <w:rsid w:val="00974D0F"/>
    <w:rsid w:val="009A4D19"/>
    <w:rsid w:val="009C1704"/>
    <w:rsid w:val="009C523C"/>
    <w:rsid w:val="009E4E70"/>
    <w:rsid w:val="009F352A"/>
    <w:rsid w:val="00A22533"/>
    <w:rsid w:val="00A271DF"/>
    <w:rsid w:val="00A5766A"/>
    <w:rsid w:val="00AA3D66"/>
    <w:rsid w:val="00AC3F45"/>
    <w:rsid w:val="00AC3FCB"/>
    <w:rsid w:val="00B0266A"/>
    <w:rsid w:val="00B115AC"/>
    <w:rsid w:val="00B4627D"/>
    <w:rsid w:val="00B567F0"/>
    <w:rsid w:val="00B64246"/>
    <w:rsid w:val="00B94379"/>
    <w:rsid w:val="00BA28A9"/>
    <w:rsid w:val="00BA2980"/>
    <w:rsid w:val="00BB4128"/>
    <w:rsid w:val="00BC3337"/>
    <w:rsid w:val="00BD0148"/>
    <w:rsid w:val="00BD29A6"/>
    <w:rsid w:val="00BD7E4F"/>
    <w:rsid w:val="00BE2802"/>
    <w:rsid w:val="00BE6803"/>
    <w:rsid w:val="00C01E54"/>
    <w:rsid w:val="00C02C50"/>
    <w:rsid w:val="00C0693C"/>
    <w:rsid w:val="00C070AE"/>
    <w:rsid w:val="00C42CFA"/>
    <w:rsid w:val="00C53FC4"/>
    <w:rsid w:val="00C54BB5"/>
    <w:rsid w:val="00C8234C"/>
    <w:rsid w:val="00C852E0"/>
    <w:rsid w:val="00C94B1E"/>
    <w:rsid w:val="00CB209A"/>
    <w:rsid w:val="00CB3F0E"/>
    <w:rsid w:val="00CD2818"/>
    <w:rsid w:val="00CE0E22"/>
    <w:rsid w:val="00CE5D92"/>
    <w:rsid w:val="00CE64AC"/>
    <w:rsid w:val="00CF465F"/>
    <w:rsid w:val="00D0227C"/>
    <w:rsid w:val="00D0279F"/>
    <w:rsid w:val="00D32E5B"/>
    <w:rsid w:val="00D43A39"/>
    <w:rsid w:val="00D5014A"/>
    <w:rsid w:val="00D53B40"/>
    <w:rsid w:val="00D72855"/>
    <w:rsid w:val="00D9037C"/>
    <w:rsid w:val="00DA7D2D"/>
    <w:rsid w:val="00DB0859"/>
    <w:rsid w:val="00DB30D6"/>
    <w:rsid w:val="00DB3B38"/>
    <w:rsid w:val="00DC0570"/>
    <w:rsid w:val="00DE5F7C"/>
    <w:rsid w:val="00DF6176"/>
    <w:rsid w:val="00E058EF"/>
    <w:rsid w:val="00E10F7F"/>
    <w:rsid w:val="00E25836"/>
    <w:rsid w:val="00E34305"/>
    <w:rsid w:val="00E579CF"/>
    <w:rsid w:val="00E708EA"/>
    <w:rsid w:val="00E74445"/>
    <w:rsid w:val="00E8230C"/>
    <w:rsid w:val="00EA275D"/>
    <w:rsid w:val="00EA43FF"/>
    <w:rsid w:val="00EB0A97"/>
    <w:rsid w:val="00EC1927"/>
    <w:rsid w:val="00EC7C9A"/>
    <w:rsid w:val="00EE1B25"/>
    <w:rsid w:val="00EE45B8"/>
    <w:rsid w:val="00EE60FD"/>
    <w:rsid w:val="00EF0119"/>
    <w:rsid w:val="00F013CB"/>
    <w:rsid w:val="00F168A9"/>
    <w:rsid w:val="00F20170"/>
    <w:rsid w:val="00F45B5C"/>
    <w:rsid w:val="00F52034"/>
    <w:rsid w:val="00F8671A"/>
    <w:rsid w:val="00F97D5F"/>
    <w:rsid w:val="00FA108C"/>
    <w:rsid w:val="00FA61BC"/>
    <w:rsid w:val="00FB57BB"/>
    <w:rsid w:val="00FD0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28A74"/>
  <w15:chartTrackingRefBased/>
  <w15:docId w15:val="{C3F6892C-0127-4F6F-B59A-F560285C1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7A9"/>
    <w:pPr>
      <w:ind w:left="720"/>
      <w:contextualSpacing/>
    </w:pPr>
  </w:style>
  <w:style w:type="paragraph" w:customStyle="1" w:styleId="gmail-m2861927302354019824gmail-m-6763432429847707728gmail-m-4287275589563052708msolistparagraph">
    <w:name w:val="gmail-m_2861927302354019824gmail-m-6763432429847707728gmail-m-4287275589563052708msolistparagraph"/>
    <w:basedOn w:val="Normal"/>
    <w:rsid w:val="00481C15"/>
    <w:pPr>
      <w:spacing w:before="100" w:beforeAutospacing="1" w:after="100" w:afterAutospacing="1" w:line="240" w:lineRule="auto"/>
    </w:pPr>
    <w:rPr>
      <w:rFonts w:ascii="Calibri" w:hAnsi="Calibri" w:cs="Calibri"/>
    </w:rPr>
  </w:style>
  <w:style w:type="paragraph" w:customStyle="1" w:styleId="gmail-m2861927302354019824msolistparagraph">
    <w:name w:val="gmail-m_2861927302354019824msolistparagraph"/>
    <w:basedOn w:val="Normal"/>
    <w:rsid w:val="00481C15"/>
    <w:pPr>
      <w:spacing w:before="100" w:beforeAutospacing="1" w:after="100" w:afterAutospacing="1" w:line="240" w:lineRule="auto"/>
    </w:pPr>
    <w:rPr>
      <w:rFonts w:ascii="Calibri" w:hAnsi="Calibri" w:cs="Calibri"/>
    </w:rPr>
  </w:style>
  <w:style w:type="table" w:styleId="TableGrid">
    <w:name w:val="Table Grid"/>
    <w:basedOn w:val="TableNormal"/>
    <w:uiPriority w:val="39"/>
    <w:rsid w:val="005C2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2339"/>
    <w:rPr>
      <w:color w:val="0563C1" w:themeColor="hyperlink"/>
      <w:u w:val="single"/>
    </w:rPr>
  </w:style>
  <w:style w:type="character" w:styleId="UnresolvedMention">
    <w:name w:val="Unresolved Mention"/>
    <w:basedOn w:val="DefaultParagraphFont"/>
    <w:uiPriority w:val="99"/>
    <w:semiHidden/>
    <w:unhideWhenUsed/>
    <w:rsid w:val="00882339"/>
    <w:rPr>
      <w:color w:val="605E5C"/>
      <w:shd w:val="clear" w:color="auto" w:fill="E1DFDD"/>
    </w:rPr>
  </w:style>
  <w:style w:type="character" w:styleId="CommentReference">
    <w:name w:val="annotation reference"/>
    <w:basedOn w:val="DefaultParagraphFont"/>
    <w:uiPriority w:val="99"/>
    <w:semiHidden/>
    <w:unhideWhenUsed/>
    <w:rsid w:val="00820BD7"/>
    <w:rPr>
      <w:sz w:val="16"/>
      <w:szCs w:val="16"/>
    </w:rPr>
  </w:style>
  <w:style w:type="paragraph" w:styleId="CommentText">
    <w:name w:val="annotation text"/>
    <w:basedOn w:val="Normal"/>
    <w:link w:val="CommentTextChar"/>
    <w:uiPriority w:val="99"/>
    <w:unhideWhenUsed/>
    <w:rsid w:val="00820BD7"/>
    <w:pPr>
      <w:spacing w:line="240" w:lineRule="auto"/>
    </w:pPr>
    <w:rPr>
      <w:sz w:val="20"/>
      <w:szCs w:val="20"/>
    </w:rPr>
  </w:style>
  <w:style w:type="character" w:customStyle="1" w:styleId="CommentTextChar">
    <w:name w:val="Comment Text Char"/>
    <w:basedOn w:val="DefaultParagraphFont"/>
    <w:link w:val="CommentText"/>
    <w:uiPriority w:val="99"/>
    <w:rsid w:val="00820BD7"/>
    <w:rPr>
      <w:sz w:val="20"/>
      <w:szCs w:val="20"/>
    </w:rPr>
  </w:style>
  <w:style w:type="paragraph" w:styleId="CommentSubject">
    <w:name w:val="annotation subject"/>
    <w:basedOn w:val="CommentText"/>
    <w:next w:val="CommentText"/>
    <w:link w:val="CommentSubjectChar"/>
    <w:uiPriority w:val="99"/>
    <w:semiHidden/>
    <w:unhideWhenUsed/>
    <w:rsid w:val="00820BD7"/>
    <w:rPr>
      <w:b/>
      <w:bCs/>
    </w:rPr>
  </w:style>
  <w:style w:type="character" w:customStyle="1" w:styleId="CommentSubjectChar">
    <w:name w:val="Comment Subject Char"/>
    <w:basedOn w:val="CommentTextChar"/>
    <w:link w:val="CommentSubject"/>
    <w:uiPriority w:val="99"/>
    <w:semiHidden/>
    <w:rsid w:val="00820BD7"/>
    <w:rPr>
      <w:b/>
      <w:bCs/>
      <w:sz w:val="20"/>
      <w:szCs w:val="20"/>
    </w:rPr>
  </w:style>
  <w:style w:type="paragraph" w:styleId="Header">
    <w:name w:val="header"/>
    <w:basedOn w:val="Normal"/>
    <w:link w:val="HeaderChar"/>
    <w:uiPriority w:val="99"/>
    <w:unhideWhenUsed/>
    <w:rsid w:val="00DB0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859"/>
  </w:style>
  <w:style w:type="paragraph" w:styleId="Footer">
    <w:name w:val="footer"/>
    <w:basedOn w:val="Normal"/>
    <w:link w:val="FooterChar"/>
    <w:uiPriority w:val="99"/>
    <w:unhideWhenUsed/>
    <w:rsid w:val="00DB0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859"/>
  </w:style>
  <w:style w:type="character" w:styleId="FollowedHyperlink">
    <w:name w:val="FollowedHyperlink"/>
    <w:basedOn w:val="DefaultParagraphFont"/>
    <w:uiPriority w:val="99"/>
    <w:semiHidden/>
    <w:unhideWhenUsed/>
    <w:rsid w:val="00841096"/>
    <w:rPr>
      <w:color w:val="954F72" w:themeColor="followedHyperlink"/>
      <w:u w:val="single"/>
    </w:rPr>
  </w:style>
  <w:style w:type="paragraph" w:styleId="Revision">
    <w:name w:val="Revision"/>
    <w:hidden/>
    <w:uiPriority w:val="99"/>
    <w:semiHidden/>
    <w:rsid w:val="002C61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83748">
      <w:bodyDiv w:val="1"/>
      <w:marLeft w:val="0"/>
      <w:marRight w:val="0"/>
      <w:marTop w:val="0"/>
      <w:marBottom w:val="0"/>
      <w:divBdr>
        <w:top w:val="none" w:sz="0" w:space="0" w:color="auto"/>
        <w:left w:val="none" w:sz="0" w:space="0" w:color="auto"/>
        <w:bottom w:val="none" w:sz="0" w:space="0" w:color="auto"/>
        <w:right w:val="none" w:sz="0" w:space="0" w:color="auto"/>
      </w:divBdr>
    </w:div>
    <w:div w:id="216598979">
      <w:bodyDiv w:val="1"/>
      <w:marLeft w:val="0"/>
      <w:marRight w:val="0"/>
      <w:marTop w:val="0"/>
      <w:marBottom w:val="0"/>
      <w:divBdr>
        <w:top w:val="none" w:sz="0" w:space="0" w:color="auto"/>
        <w:left w:val="none" w:sz="0" w:space="0" w:color="auto"/>
        <w:bottom w:val="none" w:sz="0" w:space="0" w:color="auto"/>
        <w:right w:val="none" w:sz="0" w:space="0" w:color="auto"/>
      </w:divBdr>
    </w:div>
    <w:div w:id="231626729">
      <w:bodyDiv w:val="1"/>
      <w:marLeft w:val="0"/>
      <w:marRight w:val="0"/>
      <w:marTop w:val="0"/>
      <w:marBottom w:val="0"/>
      <w:divBdr>
        <w:top w:val="none" w:sz="0" w:space="0" w:color="auto"/>
        <w:left w:val="none" w:sz="0" w:space="0" w:color="auto"/>
        <w:bottom w:val="none" w:sz="0" w:space="0" w:color="auto"/>
        <w:right w:val="none" w:sz="0" w:space="0" w:color="auto"/>
      </w:divBdr>
    </w:div>
    <w:div w:id="697050714">
      <w:bodyDiv w:val="1"/>
      <w:marLeft w:val="0"/>
      <w:marRight w:val="0"/>
      <w:marTop w:val="0"/>
      <w:marBottom w:val="0"/>
      <w:divBdr>
        <w:top w:val="none" w:sz="0" w:space="0" w:color="auto"/>
        <w:left w:val="none" w:sz="0" w:space="0" w:color="auto"/>
        <w:bottom w:val="none" w:sz="0" w:space="0" w:color="auto"/>
        <w:right w:val="none" w:sz="0" w:space="0" w:color="auto"/>
      </w:divBdr>
    </w:div>
    <w:div w:id="807942471">
      <w:bodyDiv w:val="1"/>
      <w:marLeft w:val="0"/>
      <w:marRight w:val="0"/>
      <w:marTop w:val="0"/>
      <w:marBottom w:val="0"/>
      <w:divBdr>
        <w:top w:val="none" w:sz="0" w:space="0" w:color="auto"/>
        <w:left w:val="none" w:sz="0" w:space="0" w:color="auto"/>
        <w:bottom w:val="none" w:sz="0" w:space="0" w:color="auto"/>
        <w:right w:val="none" w:sz="0" w:space="0" w:color="auto"/>
      </w:divBdr>
    </w:div>
    <w:div w:id="1101726883">
      <w:bodyDiv w:val="1"/>
      <w:marLeft w:val="0"/>
      <w:marRight w:val="0"/>
      <w:marTop w:val="0"/>
      <w:marBottom w:val="0"/>
      <w:divBdr>
        <w:top w:val="none" w:sz="0" w:space="0" w:color="auto"/>
        <w:left w:val="none" w:sz="0" w:space="0" w:color="auto"/>
        <w:bottom w:val="none" w:sz="0" w:space="0" w:color="auto"/>
        <w:right w:val="none" w:sz="0" w:space="0" w:color="auto"/>
      </w:divBdr>
      <w:divsChild>
        <w:div w:id="719986615">
          <w:marLeft w:val="446"/>
          <w:marRight w:val="0"/>
          <w:marTop w:val="0"/>
          <w:marBottom w:val="240"/>
          <w:divBdr>
            <w:top w:val="none" w:sz="0" w:space="0" w:color="auto"/>
            <w:left w:val="none" w:sz="0" w:space="0" w:color="auto"/>
            <w:bottom w:val="none" w:sz="0" w:space="0" w:color="auto"/>
            <w:right w:val="none" w:sz="0" w:space="0" w:color="auto"/>
          </w:divBdr>
        </w:div>
      </w:divsChild>
    </w:div>
    <w:div w:id="1577013482">
      <w:bodyDiv w:val="1"/>
      <w:marLeft w:val="0"/>
      <w:marRight w:val="0"/>
      <w:marTop w:val="0"/>
      <w:marBottom w:val="0"/>
      <w:divBdr>
        <w:top w:val="none" w:sz="0" w:space="0" w:color="auto"/>
        <w:left w:val="none" w:sz="0" w:space="0" w:color="auto"/>
        <w:bottom w:val="none" w:sz="0" w:space="0" w:color="auto"/>
        <w:right w:val="none" w:sz="0" w:space="0" w:color="auto"/>
      </w:divBdr>
    </w:div>
    <w:div w:id="187014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es.research.asu.edu/" TargetMode="External"/><Relationship Id="rId13" Type="http://schemas.openxmlformats.org/officeDocument/2006/relationships/hyperlink" Target="https://entrepreneurship.engineering.asu.edu/efp/" TargetMode="External"/><Relationship Id="rId3" Type="http://schemas.openxmlformats.org/officeDocument/2006/relationships/settings" Target="settings.xml"/><Relationship Id="rId7" Type="http://schemas.openxmlformats.org/officeDocument/2006/relationships/hyperlink" Target="mailto:stc@asu.edu" TargetMode="External"/><Relationship Id="rId12" Type="http://schemas.openxmlformats.org/officeDocument/2006/relationships/hyperlink" Target="https://public.azregents.edu/Policy%20Manual/6-908-Intellectual%20Property%20Policy.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kysonginnovation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oly.engineering.asu.edu/innovation-hub/" TargetMode="External"/><Relationship Id="rId4" Type="http://schemas.openxmlformats.org/officeDocument/2006/relationships/webSettings" Target="webSettings.xml"/><Relationship Id="rId9" Type="http://schemas.openxmlformats.org/officeDocument/2006/relationships/hyperlink" Target="https://vislab.asu.edu/" TargetMode="External"/><Relationship Id="rId14" Type="http://schemas.openxmlformats.org/officeDocument/2006/relationships/hyperlink" Target="https://docs.google.com/document/d/1RkXqga9_tF9nN5KxrJ7wdKsLCUvmqsmS1ca3a6-ztFw/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1842</Words>
  <Characters>10503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Holman</dc:creator>
  <cp:keywords/>
  <dc:description/>
  <cp:lastModifiedBy>Anthony Tam</cp:lastModifiedBy>
  <cp:revision>19</cp:revision>
  <dcterms:created xsi:type="dcterms:W3CDTF">2023-03-01T05:22:00Z</dcterms:created>
  <dcterms:modified xsi:type="dcterms:W3CDTF">2023-08-07T16:36:00Z</dcterms:modified>
</cp:coreProperties>
</file>